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3A275" w14:textId="77777777" w:rsidR="005055C2" w:rsidRPr="005055C2" w:rsidRDefault="005055C2" w:rsidP="005055C2">
      <w:pPr>
        <w:pStyle w:val="TTPTitle"/>
        <w:spacing w:before="120"/>
        <w:rPr>
          <w:sz w:val="32"/>
          <w:szCs w:val="28"/>
        </w:rPr>
      </w:pPr>
      <w:r w:rsidRPr="005055C2">
        <w:rPr>
          <w:sz w:val="32"/>
          <w:szCs w:val="28"/>
        </w:rPr>
        <w:t>Lightweight Automotive Materials</w:t>
      </w:r>
      <w:r w:rsidRPr="005055C2">
        <w:rPr>
          <w:rFonts w:hint="eastAsia"/>
          <w:sz w:val="32"/>
          <w:szCs w:val="28"/>
        </w:rPr>
        <w:t xml:space="preserve"> </w:t>
      </w:r>
      <w:proofErr w:type="gramStart"/>
      <w:r w:rsidRPr="005055C2">
        <w:rPr>
          <w:rFonts w:hint="eastAsia"/>
          <w:sz w:val="32"/>
          <w:szCs w:val="28"/>
        </w:rPr>
        <w:t>And</w:t>
      </w:r>
      <w:proofErr w:type="gramEnd"/>
      <w:r w:rsidRPr="005055C2">
        <w:rPr>
          <w:rFonts w:hint="eastAsia"/>
          <w:sz w:val="32"/>
          <w:szCs w:val="28"/>
        </w:rPr>
        <w:t xml:space="preserve"> </w:t>
      </w:r>
      <w:r w:rsidRPr="005055C2">
        <w:rPr>
          <w:sz w:val="32"/>
          <w:szCs w:val="28"/>
        </w:rPr>
        <w:t>Structural Design and</w:t>
      </w:r>
    </w:p>
    <w:p w14:paraId="65AC4987" w14:textId="77777777" w:rsidR="005055C2" w:rsidRDefault="005055C2" w:rsidP="005055C2">
      <w:pPr>
        <w:pStyle w:val="TTPTitle"/>
        <w:spacing w:before="120"/>
        <w:rPr>
          <w:sz w:val="32"/>
          <w:szCs w:val="28"/>
        </w:rPr>
      </w:pPr>
      <w:r>
        <w:rPr>
          <w:sz w:val="32"/>
          <w:szCs w:val="28"/>
        </w:rPr>
        <w:t xml:space="preserve"> Performance Prediction Based on Fundamental Algorithms</w:t>
      </w:r>
    </w:p>
    <w:p w14:paraId="1D8DB6E2" w14:textId="2CDF02BB" w:rsidR="005055C2" w:rsidRPr="005055C2" w:rsidRDefault="005055C2" w:rsidP="005055C2">
      <w:pPr>
        <w:pStyle w:val="TTPAuthors"/>
        <w:spacing w:before="240"/>
        <w:rPr>
          <w:vertAlign w:val="superscript"/>
        </w:rPr>
      </w:pPr>
      <w:proofErr w:type="spellStart"/>
      <w:r>
        <w:rPr>
          <w:rFonts w:hint="eastAsia"/>
        </w:rPr>
        <w:t>Xusheng</w:t>
      </w:r>
      <w:proofErr w:type="spellEnd"/>
      <w:r>
        <w:rPr>
          <w:rFonts w:hint="eastAsia"/>
        </w:rPr>
        <w:t xml:space="preserve"> Zhang</w:t>
      </w:r>
      <w:bookmarkStart w:id="0" w:name="_Hlk206882972"/>
      <w:r w:rsidRPr="005055C2">
        <w:rPr>
          <w:vertAlign w:val="superscript"/>
        </w:rPr>
        <w:t xml:space="preserve"> *</w:t>
      </w:r>
      <w:bookmarkEnd w:id="0"/>
    </w:p>
    <w:p w14:paraId="60ADB2B9" w14:textId="02788818" w:rsidR="005055C2" w:rsidRDefault="005055C2" w:rsidP="005055C2">
      <w:pPr>
        <w:pStyle w:val="TTPAddress"/>
      </w:pPr>
      <w:r>
        <w:t xml:space="preserve">Department of </w:t>
      </w:r>
      <w:r>
        <w:rPr>
          <w:rFonts w:hint="eastAsia"/>
        </w:rPr>
        <w:t>Mechanical Engineering</w:t>
      </w:r>
      <w:r>
        <w:t>,</w:t>
      </w:r>
      <w:r>
        <w:rPr>
          <w:rFonts w:hint="eastAsia"/>
        </w:rPr>
        <w:t xml:space="preserve"> Zhejiang</w:t>
      </w:r>
      <w:r>
        <w:t xml:space="preserve"> University</w:t>
      </w:r>
      <w:r>
        <w:rPr>
          <w:rFonts w:hint="eastAsia"/>
        </w:rPr>
        <w:t xml:space="preserve"> of Technology</w:t>
      </w:r>
      <w:r>
        <w:t>,</w:t>
      </w:r>
      <w:r>
        <w:rPr>
          <w:rFonts w:hint="eastAsia"/>
        </w:rPr>
        <w:t xml:space="preserve"> Zhejiang</w:t>
      </w:r>
      <w:r>
        <w:t>, China</w:t>
      </w:r>
      <w:r>
        <w:rPr>
          <w:rFonts w:hint="eastAsia"/>
        </w:rPr>
        <w:t xml:space="preserve"> 310023</w:t>
      </w:r>
    </w:p>
    <w:p w14:paraId="02AE4D03" w14:textId="0156D1CB" w:rsidR="005055C2" w:rsidRDefault="005055C2" w:rsidP="005055C2">
      <w:pPr>
        <w:pStyle w:val="TTPAddress"/>
      </w:pPr>
      <w:r>
        <w:rPr>
          <w:rFonts w:hint="eastAsia"/>
          <w:lang w:eastAsia="zh-CN"/>
        </w:rPr>
        <w:t>*</w:t>
      </w:r>
      <w:r>
        <w:t xml:space="preserve"> </w:t>
      </w:r>
      <w:r w:rsidRPr="00DF42DC">
        <w:t>Corresponding Author Email</w:t>
      </w:r>
      <w:r>
        <w:t>:</w:t>
      </w:r>
      <w:r w:rsidRPr="00DF42DC">
        <w:t xml:space="preserve"> </w:t>
      </w:r>
      <w:hyperlink r:id="rId8" w:history="1">
        <w:r w:rsidRPr="005055C2">
          <w:rPr>
            <w:rFonts w:hint="eastAsia"/>
          </w:rPr>
          <w:t>1258383627</w:t>
        </w:r>
        <w:r w:rsidRPr="005055C2">
          <w:t>@</w:t>
        </w:r>
        <w:r w:rsidRPr="005055C2">
          <w:rPr>
            <w:rFonts w:hint="eastAsia"/>
          </w:rPr>
          <w:t>qq</w:t>
        </w:r>
        <w:r w:rsidRPr="005055C2">
          <w:t>.com</w:t>
        </w:r>
      </w:hyperlink>
    </w:p>
    <w:p w14:paraId="73CD0B7B" w14:textId="0774395D" w:rsidR="005055C2" w:rsidRDefault="005055C2" w:rsidP="005055C2">
      <w:pPr>
        <w:pStyle w:val="TTPAbstract"/>
        <w:spacing w:before="180"/>
        <w:rPr>
          <w:rFonts w:ascii="Arial" w:hAnsi="Arial" w:cs="Arial"/>
          <w:bCs/>
          <w:sz w:val="22"/>
          <w:lang w:eastAsia="zh-CN"/>
        </w:rPr>
      </w:pPr>
      <w:r w:rsidRPr="005055C2">
        <w:rPr>
          <w:rFonts w:ascii="Arial" w:hAnsi="Arial" w:cs="Arial"/>
          <w:b/>
          <w:sz w:val="22"/>
          <w:lang w:val="de-DE"/>
        </w:rPr>
        <w:t>Abstract</w:t>
      </w:r>
      <w:r w:rsidRPr="005055C2">
        <w:rPr>
          <w:rFonts w:ascii="Arial" w:hAnsi="Arial" w:cs="Arial" w:hint="eastAsia"/>
          <w:b/>
          <w:sz w:val="22"/>
          <w:lang w:val="de-DE" w:eastAsia="zh-CN"/>
        </w:rPr>
        <w:t xml:space="preserve">. </w:t>
      </w:r>
      <w:r>
        <w:rPr>
          <w:rFonts w:ascii="Arial" w:hAnsi="Arial" w:cs="Arial" w:hint="eastAsia"/>
          <w:b/>
          <w:sz w:val="22"/>
          <w:lang w:eastAsia="zh-CN"/>
        </w:rPr>
        <w:t>I</w:t>
      </w:r>
      <w:r w:rsidRPr="003C6F4B">
        <w:rPr>
          <w:rFonts w:ascii="Arial" w:hAnsi="Arial" w:cs="Arial"/>
          <w:bCs/>
          <w:sz w:val="22"/>
        </w:rPr>
        <w:t>n the context of global energy conservation, emission reduction, and sustainable development, automotive lightweight technology has become a crucial direction for the transformation and upgrading of the automotive industry. By reducing vehicle weight, it is possible to significantly improve fuel economy, extend the driving range of new energy vehicles, and decrease overall greenhouse gas emissions, thereby supporting both environmental and economic goals. This paper centers on the design and performance prediction of lightweight automotive materials and structures, with a particular emphasis on the integration of advanced algorithms into engineering practice. It first reviews the industrial background and strategic significance of lightweighting, followed by a summary of the mechanical, thermal, and economic properties of common lightweight materials such as aluminum alloys, magnesium alloys, high-strength steels, and composite materials. Furthermore, the paper introduces collaborative design concepts that couple material development with structural innovation, and discusses multiple lightweight design strategies. Special attention is given to the role of machine learning, topology optimization, and multi-objective optimization in predicting material performance, guiding structural design, and balancing trade-offs among cost, safety, and sustainability. Finally, through case studies of typical manufacturers, the paper analyzes practical applications and summarizes future trends, aiming to provide a comprehensive theoretical reference and methodological guidance for research and practice in automotive lightweight technology.</w:t>
      </w:r>
      <w:r w:rsidR="00D465C7">
        <w:rPr>
          <w:rFonts w:ascii="Arial" w:hAnsi="Arial" w:cs="Arial" w:hint="eastAsia"/>
          <w:bCs/>
          <w:sz w:val="22"/>
          <w:lang w:eastAsia="zh-CN"/>
        </w:rPr>
        <w:t xml:space="preserve"> </w:t>
      </w:r>
    </w:p>
    <w:p w14:paraId="1C3E7203" w14:textId="3810780E" w:rsidR="005055C2" w:rsidRDefault="005055C2" w:rsidP="005055C2">
      <w:pPr>
        <w:pStyle w:val="TTPKeywords"/>
        <w:spacing w:before="180"/>
        <w:rPr>
          <w:bCs/>
          <w:lang w:eastAsia="zh-CN"/>
        </w:rPr>
      </w:pPr>
      <w:r>
        <w:rPr>
          <w:b/>
        </w:rPr>
        <w:t>Keywords:</w:t>
      </w:r>
      <w:r>
        <w:rPr>
          <w:bCs/>
        </w:rPr>
        <w:t xml:space="preserve"> </w:t>
      </w:r>
      <w:r w:rsidRPr="005055C2">
        <w:rPr>
          <w:rFonts w:hint="eastAsia"/>
        </w:rPr>
        <w:t>A</w:t>
      </w:r>
      <w:r w:rsidRPr="005055C2">
        <w:t>utomobile</w:t>
      </w:r>
      <w:r>
        <w:rPr>
          <w:bCs/>
        </w:rPr>
        <w:t xml:space="preserve"> </w:t>
      </w:r>
      <w:r>
        <w:rPr>
          <w:rFonts w:hint="eastAsia"/>
          <w:bCs/>
          <w:lang w:eastAsia="zh-CN"/>
        </w:rPr>
        <w:t>L</w:t>
      </w:r>
      <w:r>
        <w:rPr>
          <w:bCs/>
        </w:rPr>
        <w:t>ightweight</w:t>
      </w:r>
      <w:r>
        <w:rPr>
          <w:rFonts w:hint="eastAsia"/>
          <w:bCs/>
          <w:lang w:eastAsia="zh-CN"/>
        </w:rPr>
        <w:t>,</w:t>
      </w:r>
      <w:r>
        <w:rPr>
          <w:bCs/>
        </w:rPr>
        <w:t xml:space="preserve"> </w:t>
      </w:r>
      <w:r>
        <w:rPr>
          <w:rFonts w:hint="eastAsia"/>
          <w:bCs/>
          <w:lang w:eastAsia="zh-CN"/>
        </w:rPr>
        <w:t>B</w:t>
      </w:r>
      <w:r>
        <w:rPr>
          <w:bCs/>
        </w:rPr>
        <w:t xml:space="preserve">asic </w:t>
      </w:r>
      <w:r>
        <w:rPr>
          <w:rFonts w:hint="eastAsia"/>
          <w:bCs/>
          <w:lang w:eastAsia="zh-CN"/>
        </w:rPr>
        <w:t>A</w:t>
      </w:r>
      <w:r>
        <w:rPr>
          <w:bCs/>
        </w:rPr>
        <w:t>lgorithms</w:t>
      </w:r>
      <w:r>
        <w:rPr>
          <w:rFonts w:hint="eastAsia"/>
          <w:bCs/>
          <w:lang w:eastAsia="zh-CN"/>
        </w:rPr>
        <w:t>,</w:t>
      </w:r>
      <w:r>
        <w:rPr>
          <w:bCs/>
        </w:rPr>
        <w:t xml:space="preserve"> </w:t>
      </w:r>
      <w:r>
        <w:rPr>
          <w:rFonts w:hint="eastAsia"/>
          <w:bCs/>
          <w:lang w:eastAsia="zh-CN"/>
        </w:rPr>
        <w:t>M</w:t>
      </w:r>
      <w:r>
        <w:rPr>
          <w:bCs/>
        </w:rPr>
        <w:t xml:space="preserve">aterial </w:t>
      </w:r>
      <w:r>
        <w:rPr>
          <w:rFonts w:hint="eastAsia"/>
          <w:bCs/>
          <w:lang w:eastAsia="zh-CN"/>
        </w:rPr>
        <w:t>P</w:t>
      </w:r>
      <w:r>
        <w:rPr>
          <w:bCs/>
        </w:rPr>
        <w:t>roperties</w:t>
      </w:r>
      <w:r>
        <w:rPr>
          <w:rFonts w:hint="eastAsia"/>
          <w:bCs/>
          <w:lang w:eastAsia="zh-CN"/>
        </w:rPr>
        <w:t>,</w:t>
      </w:r>
      <w:r>
        <w:rPr>
          <w:bCs/>
        </w:rPr>
        <w:t xml:space="preserve"> </w:t>
      </w:r>
      <w:r>
        <w:rPr>
          <w:rFonts w:hint="eastAsia"/>
          <w:bCs/>
          <w:lang w:eastAsia="zh-CN"/>
        </w:rPr>
        <w:t>S</w:t>
      </w:r>
      <w:r>
        <w:rPr>
          <w:bCs/>
        </w:rPr>
        <w:t xml:space="preserve">tructural </w:t>
      </w:r>
      <w:r>
        <w:rPr>
          <w:rFonts w:hint="eastAsia"/>
          <w:bCs/>
          <w:lang w:eastAsia="zh-CN"/>
        </w:rPr>
        <w:t>D</w:t>
      </w:r>
      <w:r>
        <w:rPr>
          <w:bCs/>
        </w:rPr>
        <w:t>esign</w:t>
      </w:r>
      <w:r>
        <w:rPr>
          <w:rFonts w:hint="eastAsia"/>
          <w:bCs/>
          <w:lang w:eastAsia="zh-CN"/>
        </w:rPr>
        <w:t xml:space="preserve">. </w:t>
      </w:r>
    </w:p>
    <w:p w14:paraId="582F4E73" w14:textId="77777777" w:rsidR="005055C2" w:rsidRPr="005055C2" w:rsidRDefault="005055C2" w:rsidP="005055C2">
      <w:pPr>
        <w:pStyle w:val="1"/>
        <w:numPr>
          <w:ilvl w:val="0"/>
          <w:numId w:val="8"/>
        </w:numPr>
        <w:tabs>
          <w:tab w:val="num" w:pos="360"/>
        </w:tabs>
        <w:ind w:left="420" w:hanging="420"/>
      </w:pPr>
      <w:r w:rsidRPr="005055C2">
        <w:t>Introduction</w:t>
      </w:r>
    </w:p>
    <w:p w14:paraId="29E16579" w14:textId="10C95A70" w:rsidR="005055C2" w:rsidRPr="005055C2" w:rsidRDefault="005055C2" w:rsidP="005055C2">
      <w:pPr>
        <w:pStyle w:val="TTPParagraphothers"/>
        <w:ind w:firstLine="284"/>
        <w:rPr>
          <w:lang w:eastAsia="zh-CN"/>
        </w:rPr>
      </w:pPr>
      <w:bookmarkStart w:id="1" w:name="_Hlk206611046"/>
      <w:r w:rsidRPr="005055C2">
        <w:t>As global car ownership continues to grow, the automotive industry's energy consumption and environmental impact are becoming increasingly significant. In this context, automotive lightweight technology, as a key means to achieve energy conservation, emission reduction, and improved vehicle performance, has received widespread attention. Lightweighting not only reduces vehicle energy consumption and emissions—meeting increasingly stringent fuel economy regulations and carbon neutrality goals—but also significantly extends electric vehicle range while enhancing dynamics and handling</w:t>
      </w:r>
      <w:r w:rsidRPr="005055C2">
        <w:rPr>
          <w:lang w:eastAsia="zh-CN"/>
        </w:rPr>
        <w:t xml:space="preserve"> </w:t>
      </w:r>
      <w:r w:rsidRPr="005055C2">
        <w:t>[1]. For example, a 10% vehicle weight reduction can improve fuel economy by 6%–8% and increase pure electric vehicle range by 5%–7%.</w:t>
      </w:r>
      <w:bookmarkEnd w:id="1"/>
      <w:r w:rsidR="00D465C7">
        <w:rPr>
          <w:rFonts w:hint="eastAsia"/>
          <w:lang w:eastAsia="zh-CN"/>
        </w:rPr>
        <w:t xml:space="preserve"> </w:t>
      </w:r>
    </w:p>
    <w:p w14:paraId="46FEA8AD" w14:textId="179F3044" w:rsidR="005055C2" w:rsidRPr="005055C2" w:rsidRDefault="005055C2" w:rsidP="005055C2">
      <w:pPr>
        <w:pStyle w:val="TTPParagraphothers"/>
        <w:ind w:firstLine="284"/>
        <w:rPr>
          <w:lang w:eastAsia="zh-CN"/>
        </w:rPr>
      </w:pPr>
      <w:r w:rsidRPr="005055C2">
        <w:t>From an industrial strategy perspective, lightweight technology is a critical direction for automotive industry transformation. Amid fierce market competition, automakers with lightweight advantages can launch more competitive products that meet consumer demand for eco-friendly, energy-efficient, and high-performance vehicles. Simultaneously, lightweight technology development drives cross-disciplinary integration and innovation in materials science, structural mechanics, and computer science</w:t>
      </w:r>
      <w:r w:rsidRPr="005055C2">
        <w:rPr>
          <w:lang w:eastAsia="zh-CN"/>
        </w:rPr>
        <w:t xml:space="preserve"> </w:t>
      </w:r>
      <w:r w:rsidRPr="005055C2">
        <w:t>[2].</w:t>
      </w:r>
      <w:r w:rsidR="00D465C7">
        <w:rPr>
          <w:rFonts w:hint="eastAsia"/>
          <w:lang w:eastAsia="zh-CN"/>
        </w:rPr>
        <w:t xml:space="preserve"> </w:t>
      </w:r>
    </w:p>
    <w:p w14:paraId="3299C6E5" w14:textId="510B4F4F" w:rsidR="005055C2" w:rsidRPr="005055C2" w:rsidRDefault="005055C2" w:rsidP="005055C2">
      <w:pPr>
        <w:pStyle w:val="TTPParagraphothers"/>
        <w:ind w:firstLine="284"/>
        <w:rPr>
          <w:lang w:eastAsia="zh-CN"/>
        </w:rPr>
      </w:pPr>
      <w:r w:rsidRPr="005055C2">
        <w:t>Automotive lightweight research focuses on material development, structural optimization, and their synergistic design. Aluminum alloys are used in body panels and chassis components due to low density and high specific strength. For instance, the Tesla Model Y's one-piece die-cast rear body (aluminum alloy) replaces over 70 parts and reduces weight by 10%. Despite significant weight reduction potential, magnesium alloys face limited application due to poor corrosion resistance and defect s</w:t>
      </w:r>
      <w:bookmarkStart w:id="2" w:name="_Hlk206611087"/>
      <w:r w:rsidRPr="005055C2">
        <w:t>usceptibility during machining</w:t>
      </w:r>
      <w:r w:rsidRPr="005055C2">
        <w:rPr>
          <w:lang w:eastAsia="zh-CN"/>
        </w:rPr>
        <w:t xml:space="preserve"> </w:t>
      </w:r>
      <w:r w:rsidRPr="005055C2">
        <w:t xml:space="preserve">[3]. Carbon fiber composites (BMW i3's carbon fiber frame </w:t>
      </w:r>
      <w:r w:rsidRPr="005055C2">
        <w:lastRenderedPageBreak/>
        <w:t xml:space="preserve">reducing weight by &gt;25%) are gradually adopted in luxury and racing vehicles for ultra-high strength-to-weight ratios, </w:t>
      </w:r>
      <w:r w:rsidRPr="005055C2">
        <w:rPr>
          <w:lang w:eastAsia="zh-CN"/>
        </w:rPr>
        <w:t xml:space="preserve">as shown in </w:t>
      </w:r>
      <w:r w:rsidRPr="005055C2">
        <w:rPr>
          <w:b/>
          <w:bCs/>
          <w:lang w:eastAsia="zh-CN"/>
        </w:rPr>
        <w:t>Fig 1</w:t>
      </w:r>
      <w:r w:rsidRPr="005055C2">
        <w:rPr>
          <w:lang w:eastAsia="zh-CN"/>
        </w:rPr>
        <w:t xml:space="preserve">, </w:t>
      </w:r>
      <w:r w:rsidRPr="005055C2">
        <w:t>though high costs restrict mass adoption</w:t>
      </w:r>
      <w:r w:rsidRPr="005055C2">
        <w:rPr>
          <w:lang w:eastAsia="zh-CN"/>
        </w:rPr>
        <w:t xml:space="preserve"> </w:t>
      </w:r>
      <w:r w:rsidRPr="005055C2">
        <w:t>[4].</w:t>
      </w:r>
      <w:r w:rsidR="00D465C7">
        <w:rPr>
          <w:rFonts w:hint="eastAsia"/>
          <w:lang w:eastAsia="zh-CN"/>
        </w:rPr>
        <w:t xml:space="preserve"> </w:t>
      </w:r>
    </w:p>
    <w:p w14:paraId="5070150F" w14:textId="39EE62CA" w:rsidR="005055C2" w:rsidRPr="005055C2" w:rsidRDefault="005055C2" w:rsidP="005055C2">
      <w:pPr>
        <w:pStyle w:val="TTPParagraphothers"/>
        <w:ind w:firstLine="284"/>
        <w:rPr>
          <w:lang w:eastAsia="zh-CN"/>
        </w:rPr>
      </w:pPr>
      <w:r w:rsidRPr="005055C2">
        <w:t>Structural optimization techniques (topology, size, and shape optimization) are widely applied—Audi A8's topology-optimized frame balances weight and strength. However, current research inadequately addresses material-structure synergy, often optimizing materials or structures in isolation while neglecting their interactions. Performance prediction also lacks accuracy; though mac</w:t>
      </w:r>
      <w:bookmarkEnd w:id="2"/>
      <w:r w:rsidRPr="005055C2">
        <w:t>hine/deep learning offers new approaches, their automotive lightweight applications remain immature due to algorithm adaptability, data quality, and model generalizability issues.</w:t>
      </w:r>
      <w:r w:rsidR="00D465C7">
        <w:rPr>
          <w:rFonts w:hint="eastAsia"/>
          <w:lang w:eastAsia="zh-CN"/>
        </w:rPr>
        <w:t xml:space="preserve"> </w:t>
      </w:r>
    </w:p>
    <w:p w14:paraId="76E4C06E" w14:textId="0950B81A" w:rsidR="005055C2" w:rsidRPr="005055C2" w:rsidRDefault="005055C2" w:rsidP="005055C2">
      <w:pPr>
        <w:pStyle w:val="TTPParagraphothers"/>
        <w:ind w:firstLine="284"/>
        <w:rPr>
          <w:lang w:eastAsia="zh-CN"/>
        </w:rPr>
      </w:pPr>
      <w:r w:rsidRPr="005055C2">
        <w:t>In summary, as a key technology for energy conservation, emission reduction and performance improvement, automobile lightweight has profoundly affected the pattern of the automobile industry. However, existing studies still have fragmentation problems in the synergy of materials, structures, and algorithms. This paper systematically sorts out the research status in the field of automotive lightweighting, focusing on three aspects: first, the performance characteristics and application status of lightweight materials (such as aluminum alloy, magnesium alloy, carbon fiber composite materials), and analyzes their advantages and disadvantages and their application in typical models; second, the key technologies of collaborative design of materials and structures, including innovative methods such as topology optimization, lattice structure design, and functional gradient materials and their mechanisms; The third is the application of algorithm technology in lightweighting, such as the implementation path of machine learning, topology optimization algorithm and multi-objective optimization algorithm in performance prediction, structural design and multi-objective trade-off.</w:t>
      </w:r>
      <w:r w:rsidR="00D465C7">
        <w:rPr>
          <w:rFonts w:hint="eastAsia"/>
          <w:lang w:eastAsia="zh-CN"/>
        </w:rPr>
        <w:t xml:space="preserve"> </w:t>
      </w:r>
    </w:p>
    <w:p w14:paraId="4EB75E02" w14:textId="77777777" w:rsidR="005055C2" w:rsidRPr="005055C2" w:rsidRDefault="005055C2" w:rsidP="005055C2">
      <w:pPr>
        <w:pStyle w:val="TTPParagraphothers"/>
        <w:spacing w:before="120"/>
        <w:ind w:firstLine="0"/>
        <w:jc w:val="center"/>
        <w:rPr>
          <w:noProof/>
          <w:szCs w:val="20"/>
        </w:rPr>
      </w:pPr>
      <w:r w:rsidRPr="005055C2">
        <w:rPr>
          <w:noProof/>
          <w:szCs w:val="20"/>
        </w:rPr>
        <w:drawing>
          <wp:inline distT="0" distB="0" distL="114300" distR="114300" wp14:anchorId="4AE500A8" wp14:editId="409B67E3">
            <wp:extent cx="3895107" cy="2362748"/>
            <wp:effectExtent l="0" t="0" r="0" b="0"/>
            <wp:docPr id="2" name="图片 2" descr="32476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2476431"/>
                    <pic:cNvPicPr>
                      <a:picLocks noChangeAspect="1"/>
                    </pic:cNvPicPr>
                  </pic:nvPicPr>
                  <pic:blipFill>
                    <a:blip r:embed="rId9"/>
                    <a:stretch>
                      <a:fillRect/>
                    </a:stretch>
                  </pic:blipFill>
                  <pic:spPr>
                    <a:xfrm>
                      <a:off x="0" y="0"/>
                      <a:ext cx="3907192" cy="2370079"/>
                    </a:xfrm>
                    <a:prstGeom prst="rect">
                      <a:avLst/>
                    </a:prstGeom>
                  </pic:spPr>
                </pic:pic>
              </a:graphicData>
            </a:graphic>
          </wp:inline>
        </w:drawing>
      </w:r>
    </w:p>
    <w:p w14:paraId="6B9E5FAC" w14:textId="77777777" w:rsidR="005055C2" w:rsidRPr="005055C2" w:rsidRDefault="005055C2" w:rsidP="005055C2">
      <w:pPr>
        <w:pStyle w:val="Figure"/>
        <w:spacing w:line="240" w:lineRule="auto"/>
        <w:rPr>
          <w:bCs/>
          <w:color w:val="000000" w:themeColor="text1"/>
          <w:sz w:val="24"/>
          <w:szCs w:val="24"/>
          <w:lang w:eastAsia="zh-CN"/>
        </w:rPr>
      </w:pPr>
      <w:r w:rsidRPr="005055C2">
        <w:rPr>
          <w:b/>
          <w:color w:val="000000" w:themeColor="text1"/>
          <w:sz w:val="24"/>
          <w:szCs w:val="24"/>
        </w:rPr>
        <w:t>Fig</w:t>
      </w:r>
      <w:r w:rsidRPr="005055C2">
        <w:rPr>
          <w:b/>
          <w:color w:val="000000" w:themeColor="text1"/>
          <w:sz w:val="24"/>
          <w:szCs w:val="24"/>
          <w:lang w:eastAsia="zh-CN"/>
        </w:rPr>
        <w:t xml:space="preserve">. </w:t>
      </w:r>
      <w:r w:rsidRPr="005055C2">
        <w:rPr>
          <w:b/>
          <w:color w:val="000000" w:themeColor="text1"/>
          <w:sz w:val="24"/>
          <w:szCs w:val="24"/>
        </w:rPr>
        <w:t xml:space="preserve">1 </w:t>
      </w:r>
      <w:r w:rsidRPr="005055C2">
        <w:rPr>
          <w:bCs/>
          <w:color w:val="000000" w:themeColor="text1"/>
          <w:sz w:val="24"/>
          <w:szCs w:val="24"/>
        </w:rPr>
        <w:t>BMW i3 carbon fiber body frame</w:t>
      </w:r>
      <w:r w:rsidRPr="005055C2">
        <w:rPr>
          <w:bCs/>
          <w:color w:val="000000" w:themeColor="text1"/>
          <w:sz w:val="24"/>
          <w:szCs w:val="24"/>
          <w:lang w:eastAsia="zh-CN"/>
        </w:rPr>
        <w:t xml:space="preserve"> [5] </w:t>
      </w:r>
    </w:p>
    <w:p w14:paraId="35C9275F" w14:textId="01D63756" w:rsidR="005055C2" w:rsidRPr="005055C2" w:rsidRDefault="005055C2" w:rsidP="005055C2">
      <w:pPr>
        <w:pStyle w:val="1"/>
        <w:numPr>
          <w:ilvl w:val="0"/>
          <w:numId w:val="8"/>
        </w:numPr>
        <w:tabs>
          <w:tab w:val="num" w:pos="360"/>
        </w:tabs>
        <w:ind w:left="420" w:hanging="420"/>
      </w:pPr>
      <w:r w:rsidRPr="005055C2">
        <w:t>Material and Structural Design Methods for Lightweight Automobiles</w:t>
      </w:r>
    </w:p>
    <w:p w14:paraId="00F831EB" w14:textId="0B6E98E7" w:rsidR="005055C2" w:rsidRPr="005055C2" w:rsidRDefault="005055C2" w:rsidP="005055C2">
      <w:pPr>
        <w:pStyle w:val="2"/>
        <w:numPr>
          <w:ilvl w:val="1"/>
          <w:numId w:val="9"/>
        </w:numPr>
      </w:pPr>
      <w:r w:rsidRPr="005055C2">
        <w:t>Properties of Common Lightweight Materials</w:t>
      </w:r>
    </w:p>
    <w:p w14:paraId="4C9FC602" w14:textId="1215A13B" w:rsidR="005055C2" w:rsidRPr="005055C2" w:rsidRDefault="005055C2" w:rsidP="005055C2">
      <w:pPr>
        <w:pStyle w:val="TTPParagraphothers"/>
        <w:ind w:firstLine="284"/>
      </w:pPr>
      <w:r w:rsidRPr="005055C2">
        <w:t xml:space="preserve">Aluminum alloys feature low density (~1/3 of steel), high specific strength, good formability, and corrosion resistance. Relevant material parameters can be referenced in </w:t>
      </w:r>
      <w:r w:rsidRPr="005055C2">
        <w:rPr>
          <w:b/>
          <w:bCs/>
        </w:rPr>
        <w:t>Table 1</w:t>
      </w:r>
      <w:r w:rsidRPr="005055C2">
        <w:t>. They are widely used in body panels, engine blocks, and wheels [</w:t>
      </w:r>
      <w:r w:rsidRPr="005055C2">
        <w:rPr>
          <w:lang w:eastAsia="zh-CN"/>
        </w:rPr>
        <w:t>6</w:t>
      </w:r>
      <w:r w:rsidRPr="005055C2">
        <w:t>]. For example, aluminum sheets reduce body panel weight while maintaining strength/stiffness and enable complex geometries via diverse processes. In premium vehicles, aluminum content exceeds 50%, significantly lowering weight while improving fuel economy and handling [</w:t>
      </w:r>
      <w:r w:rsidRPr="005055C2">
        <w:rPr>
          <w:lang w:eastAsia="zh-CN"/>
        </w:rPr>
        <w:t>7</w:t>
      </w:r>
      <w:r w:rsidRPr="005055C2">
        <w:t>].</w:t>
      </w:r>
    </w:p>
    <w:p w14:paraId="287C1910" w14:textId="77777777" w:rsidR="005055C2" w:rsidRPr="005055C2" w:rsidRDefault="005055C2" w:rsidP="005055C2">
      <w:pPr>
        <w:pStyle w:val="TTPParagraphothers"/>
        <w:ind w:firstLine="284"/>
      </w:pPr>
      <w:r w:rsidRPr="005055C2">
        <w:t>Magnesium alloys are among the lightest metallic structural materials, with density ~2/3 of aluminum and higher specific strength/stiffness. They can reduce body weight by &gt;20% at equivalent strength, boosting energy efficiency. However, poor corrosion resistance and machining-induced defects limit broad adoption. Current applications include steering wheel frames, seat skeletons, and transmission housings. Improved surface treatments and processing techniques promise wider future use</w:t>
      </w:r>
      <w:r w:rsidRPr="005055C2">
        <w:rPr>
          <w:lang w:eastAsia="zh-CN"/>
        </w:rPr>
        <w:t xml:space="preserve"> </w:t>
      </w:r>
      <w:r w:rsidRPr="005055C2">
        <w:t>[</w:t>
      </w:r>
      <w:r w:rsidRPr="005055C2">
        <w:rPr>
          <w:lang w:eastAsia="zh-CN"/>
        </w:rPr>
        <w:t>8</w:t>
      </w:r>
      <w:r w:rsidRPr="005055C2">
        <w:t>].</w:t>
      </w:r>
    </w:p>
    <w:p w14:paraId="3BDA540D" w14:textId="79826C7B" w:rsidR="005055C2" w:rsidRPr="005055C2" w:rsidRDefault="005055C2" w:rsidP="005055C2">
      <w:pPr>
        <w:pStyle w:val="TTPParagraphothers"/>
        <w:ind w:firstLine="284"/>
        <w:rPr>
          <w:lang w:eastAsia="zh-CN"/>
        </w:rPr>
      </w:pPr>
      <w:r w:rsidRPr="005055C2">
        <w:lastRenderedPageBreak/>
        <w:t>Composite materials combine matrices and reinforcements. Common types include carbon fiber-reinforced polymers (CFRP) and glass fiber-reinforced polymers. CFRP offers high strength, low density (~1/5 of steel), corrosion/fatigue resistance, and is used in structural components (BMW i3's CFRP frame achieving &gt;25% weight reduction [</w:t>
      </w:r>
      <w:r w:rsidRPr="005055C2">
        <w:rPr>
          <w:lang w:eastAsia="zh-CN"/>
        </w:rPr>
        <w:t>9</w:t>
      </w:r>
      <w:r w:rsidRPr="005055C2">
        <w:t>]). Carbon Fiber Reinforced Polymer (CFRP) is recognized as a pivotal material in automotive lightweighting due to its exceptional specific strength and stiffness. A seminal application of this technology is exemplified by the BMW i3, which features a passenger cell constructed entirely from CFRP—referred to as the 'Life Module' within its innovative Life</w:t>
      </w:r>
      <w:r w:rsidRPr="005055C2">
        <w:rPr>
          <w:lang w:eastAsia="zh-CN"/>
        </w:rPr>
        <w:t xml:space="preserve"> </w:t>
      </w:r>
      <w:r w:rsidRPr="005055C2">
        <w:t>Drive architecture. This design strategy achieves a significant reduction in mass, as CFRP possesses approximately one-fifth the density of steel, thereby directly enhancing the electric vehicle's driving range. Furthermore, the quasi-monocoque, cocoon-like structure offers exceptionally high tensile strength, providing superior occupant protection and representing a transformative approach to body-in-white engineering and manufacturing. Glass fiber composites provide lower cost and balanced performance for interiors and bumpers.</w:t>
      </w:r>
      <w:r>
        <w:rPr>
          <w:rFonts w:hint="eastAsia"/>
          <w:lang w:eastAsia="zh-CN"/>
        </w:rPr>
        <w:t xml:space="preserve"> </w:t>
      </w:r>
    </w:p>
    <w:p w14:paraId="41D75D60" w14:textId="1B88A9D7" w:rsidR="005055C2" w:rsidRPr="005055C2" w:rsidRDefault="005055C2" w:rsidP="005055C2">
      <w:pPr>
        <w:pStyle w:val="Figure"/>
        <w:spacing w:line="240" w:lineRule="auto"/>
        <w:rPr>
          <w:bCs/>
          <w:sz w:val="24"/>
          <w:szCs w:val="24"/>
          <w:lang w:val="de-DE"/>
        </w:rPr>
      </w:pPr>
      <w:r w:rsidRPr="005055C2">
        <w:rPr>
          <w:b/>
          <w:sz w:val="24"/>
          <w:szCs w:val="24"/>
        </w:rPr>
        <w:t xml:space="preserve">Table 1. </w:t>
      </w:r>
      <w:r w:rsidRPr="005055C2">
        <w:rPr>
          <w:bCs/>
          <w:sz w:val="24"/>
          <w:szCs w:val="24"/>
        </w:rPr>
        <w:t>Comparison of materials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0" w:type="dxa"/>
          <w:bottom w:w="15" w:type="dxa"/>
          <w:right w:w="0" w:type="dxa"/>
        </w:tblCellMar>
        <w:tblLook w:val="04A0" w:firstRow="1" w:lastRow="0" w:firstColumn="1" w:lastColumn="0" w:noHBand="0" w:noVBand="1"/>
      </w:tblPr>
      <w:tblGrid>
        <w:gridCol w:w="3092"/>
        <w:gridCol w:w="4763"/>
        <w:gridCol w:w="1774"/>
      </w:tblGrid>
      <w:tr w:rsidR="005055C2" w:rsidRPr="005055C2" w14:paraId="49F6E05C" w14:textId="77777777" w:rsidTr="00D465C7">
        <w:trPr>
          <w:trHeight w:val="25"/>
          <w:jc w:val="center"/>
        </w:trPr>
        <w:tc>
          <w:tcPr>
            <w:tcW w:w="1606" w:type="pct"/>
            <w:shd w:val="clear" w:color="auto" w:fill="FFFFFF"/>
            <w:tcMar>
              <w:top w:w="135" w:type="dxa"/>
              <w:left w:w="120" w:type="dxa"/>
              <w:bottom w:w="135" w:type="dxa"/>
              <w:right w:w="120" w:type="dxa"/>
            </w:tcMar>
            <w:vAlign w:val="center"/>
          </w:tcPr>
          <w:p w14:paraId="7E25FFDE" w14:textId="77777777" w:rsidR="005055C2" w:rsidRPr="005055C2" w:rsidRDefault="005055C2" w:rsidP="005055C2">
            <w:pPr>
              <w:spacing w:line="240" w:lineRule="exact"/>
              <w:jc w:val="center"/>
              <w:rPr>
                <w:sz w:val="22"/>
                <w:szCs w:val="22"/>
              </w:rPr>
            </w:pPr>
            <w:r w:rsidRPr="005055C2">
              <w:rPr>
                <w:sz w:val="22"/>
                <w:szCs w:val="22"/>
              </w:rPr>
              <w:t>Material type</w:t>
            </w:r>
          </w:p>
        </w:tc>
        <w:tc>
          <w:tcPr>
            <w:tcW w:w="2473" w:type="pct"/>
            <w:shd w:val="clear" w:color="auto" w:fill="FFFFFF"/>
            <w:tcMar>
              <w:top w:w="135" w:type="dxa"/>
              <w:left w:w="120" w:type="dxa"/>
              <w:bottom w:w="135" w:type="dxa"/>
              <w:right w:w="120" w:type="dxa"/>
            </w:tcMar>
            <w:vAlign w:val="center"/>
          </w:tcPr>
          <w:p w14:paraId="12D5D93E" w14:textId="77777777" w:rsidR="005055C2" w:rsidRPr="005055C2" w:rsidRDefault="005055C2" w:rsidP="005055C2">
            <w:pPr>
              <w:spacing w:line="240" w:lineRule="exact"/>
              <w:jc w:val="center"/>
              <w:rPr>
                <w:sz w:val="22"/>
                <w:szCs w:val="22"/>
              </w:rPr>
            </w:pPr>
            <w:r w:rsidRPr="005055C2">
              <w:rPr>
                <w:sz w:val="22"/>
                <w:szCs w:val="22"/>
              </w:rPr>
              <w:t>Density (relative, about 7.85 g/cm³ for steel)</w:t>
            </w:r>
          </w:p>
        </w:tc>
        <w:tc>
          <w:tcPr>
            <w:tcW w:w="922" w:type="pct"/>
            <w:shd w:val="clear" w:color="auto" w:fill="FFFFFF"/>
            <w:tcMar>
              <w:top w:w="135" w:type="dxa"/>
              <w:left w:w="120" w:type="dxa"/>
              <w:bottom w:w="135" w:type="dxa"/>
              <w:right w:w="120" w:type="dxa"/>
            </w:tcMar>
            <w:vAlign w:val="center"/>
          </w:tcPr>
          <w:p w14:paraId="30FBE116" w14:textId="77777777" w:rsidR="005055C2" w:rsidRPr="005055C2" w:rsidRDefault="005055C2" w:rsidP="005055C2">
            <w:pPr>
              <w:spacing w:line="240" w:lineRule="exact"/>
              <w:jc w:val="center"/>
              <w:rPr>
                <w:sz w:val="22"/>
                <w:szCs w:val="22"/>
              </w:rPr>
            </w:pPr>
            <w:r w:rsidRPr="005055C2">
              <w:rPr>
                <w:sz w:val="22"/>
                <w:szCs w:val="22"/>
              </w:rPr>
              <w:t>Specific strength</w:t>
            </w:r>
          </w:p>
        </w:tc>
      </w:tr>
      <w:tr w:rsidR="005055C2" w:rsidRPr="005055C2" w14:paraId="3A8B6E6B" w14:textId="77777777" w:rsidTr="00D465C7">
        <w:trPr>
          <w:trHeight w:val="25"/>
          <w:jc w:val="center"/>
        </w:trPr>
        <w:tc>
          <w:tcPr>
            <w:tcW w:w="1606" w:type="pct"/>
            <w:shd w:val="clear" w:color="auto" w:fill="FFFFFF"/>
            <w:tcMar>
              <w:top w:w="135" w:type="dxa"/>
              <w:left w:w="120" w:type="dxa"/>
              <w:bottom w:w="135" w:type="dxa"/>
              <w:right w:w="120" w:type="dxa"/>
            </w:tcMar>
            <w:vAlign w:val="center"/>
          </w:tcPr>
          <w:p w14:paraId="1F09FB52" w14:textId="77777777" w:rsidR="005055C2" w:rsidRPr="005055C2" w:rsidRDefault="005055C2" w:rsidP="005055C2">
            <w:pPr>
              <w:spacing w:line="240" w:lineRule="exact"/>
              <w:jc w:val="center"/>
              <w:rPr>
                <w:sz w:val="22"/>
                <w:szCs w:val="22"/>
              </w:rPr>
            </w:pPr>
            <w:r w:rsidRPr="005055C2">
              <w:rPr>
                <w:sz w:val="22"/>
                <w:szCs w:val="22"/>
              </w:rPr>
              <w:t>Aluminum alloy</w:t>
            </w:r>
          </w:p>
        </w:tc>
        <w:tc>
          <w:tcPr>
            <w:tcW w:w="2473" w:type="pct"/>
            <w:shd w:val="clear" w:color="auto" w:fill="FFFFFF"/>
            <w:tcMar>
              <w:top w:w="135" w:type="dxa"/>
              <w:left w:w="120" w:type="dxa"/>
              <w:bottom w:w="135" w:type="dxa"/>
              <w:right w:w="120" w:type="dxa"/>
            </w:tcMar>
            <w:vAlign w:val="center"/>
          </w:tcPr>
          <w:p w14:paraId="5CFB40B8" w14:textId="77777777" w:rsidR="005055C2" w:rsidRPr="005055C2" w:rsidRDefault="005055C2" w:rsidP="005055C2">
            <w:pPr>
              <w:spacing w:line="240" w:lineRule="exact"/>
              <w:jc w:val="center"/>
              <w:rPr>
                <w:sz w:val="22"/>
                <w:szCs w:val="22"/>
              </w:rPr>
            </w:pPr>
            <w:r w:rsidRPr="005055C2">
              <w:rPr>
                <w:sz w:val="22"/>
                <w:szCs w:val="22"/>
              </w:rPr>
              <w:t>Approximately 2.7 g/cm³, which is 1/3 of steel</w:t>
            </w:r>
          </w:p>
        </w:tc>
        <w:tc>
          <w:tcPr>
            <w:tcW w:w="922" w:type="pct"/>
            <w:shd w:val="clear" w:color="auto" w:fill="FFFFFF"/>
            <w:tcMar>
              <w:top w:w="135" w:type="dxa"/>
              <w:left w:w="120" w:type="dxa"/>
              <w:bottom w:w="135" w:type="dxa"/>
              <w:right w:w="120" w:type="dxa"/>
            </w:tcMar>
            <w:vAlign w:val="center"/>
          </w:tcPr>
          <w:p w14:paraId="2DEEBB12" w14:textId="77777777" w:rsidR="005055C2" w:rsidRPr="005055C2" w:rsidRDefault="005055C2" w:rsidP="005055C2">
            <w:pPr>
              <w:spacing w:line="240" w:lineRule="exact"/>
              <w:jc w:val="center"/>
              <w:rPr>
                <w:sz w:val="22"/>
                <w:szCs w:val="22"/>
              </w:rPr>
            </w:pPr>
            <w:r w:rsidRPr="005055C2">
              <w:rPr>
                <w:sz w:val="22"/>
                <w:szCs w:val="22"/>
              </w:rPr>
              <w:t>High</w:t>
            </w:r>
          </w:p>
        </w:tc>
      </w:tr>
      <w:tr w:rsidR="005055C2" w:rsidRPr="005055C2" w14:paraId="44C6850E" w14:textId="77777777" w:rsidTr="00D465C7">
        <w:trPr>
          <w:trHeight w:val="25"/>
          <w:jc w:val="center"/>
        </w:trPr>
        <w:tc>
          <w:tcPr>
            <w:tcW w:w="1606" w:type="pct"/>
            <w:shd w:val="clear" w:color="auto" w:fill="FFFFFF"/>
            <w:tcMar>
              <w:top w:w="135" w:type="dxa"/>
              <w:left w:w="120" w:type="dxa"/>
              <w:bottom w:w="135" w:type="dxa"/>
              <w:right w:w="120" w:type="dxa"/>
            </w:tcMar>
            <w:vAlign w:val="center"/>
          </w:tcPr>
          <w:p w14:paraId="1217C049" w14:textId="77777777" w:rsidR="005055C2" w:rsidRPr="005055C2" w:rsidRDefault="005055C2" w:rsidP="005055C2">
            <w:pPr>
              <w:spacing w:line="240" w:lineRule="exact"/>
              <w:jc w:val="center"/>
              <w:rPr>
                <w:sz w:val="22"/>
                <w:szCs w:val="22"/>
              </w:rPr>
            </w:pPr>
            <w:r w:rsidRPr="005055C2">
              <w:rPr>
                <w:sz w:val="22"/>
                <w:szCs w:val="22"/>
              </w:rPr>
              <w:t>Magnesium alloy</w:t>
            </w:r>
          </w:p>
        </w:tc>
        <w:tc>
          <w:tcPr>
            <w:tcW w:w="2473" w:type="pct"/>
            <w:shd w:val="clear" w:color="auto" w:fill="FFFFFF"/>
            <w:tcMar>
              <w:top w:w="135" w:type="dxa"/>
              <w:left w:w="120" w:type="dxa"/>
              <w:bottom w:w="135" w:type="dxa"/>
              <w:right w:w="120" w:type="dxa"/>
            </w:tcMar>
            <w:vAlign w:val="center"/>
          </w:tcPr>
          <w:p w14:paraId="343879F3" w14:textId="77777777" w:rsidR="005055C2" w:rsidRPr="005055C2" w:rsidRDefault="005055C2" w:rsidP="005055C2">
            <w:pPr>
              <w:spacing w:line="240" w:lineRule="exact"/>
              <w:jc w:val="center"/>
              <w:rPr>
                <w:sz w:val="22"/>
                <w:szCs w:val="22"/>
              </w:rPr>
            </w:pPr>
            <w:r w:rsidRPr="005055C2">
              <w:rPr>
                <w:sz w:val="22"/>
                <w:szCs w:val="22"/>
              </w:rPr>
              <w:t>Approximately 1.8 g/cm³, which is 2/3 of aluminum</w:t>
            </w:r>
          </w:p>
        </w:tc>
        <w:tc>
          <w:tcPr>
            <w:tcW w:w="922" w:type="pct"/>
            <w:shd w:val="clear" w:color="auto" w:fill="FFFFFF"/>
            <w:tcMar>
              <w:top w:w="135" w:type="dxa"/>
              <w:left w:w="120" w:type="dxa"/>
              <w:bottom w:w="135" w:type="dxa"/>
              <w:right w:w="120" w:type="dxa"/>
            </w:tcMar>
            <w:vAlign w:val="center"/>
          </w:tcPr>
          <w:p w14:paraId="75AB396A" w14:textId="77777777" w:rsidR="005055C2" w:rsidRPr="005055C2" w:rsidRDefault="005055C2" w:rsidP="005055C2">
            <w:pPr>
              <w:spacing w:line="240" w:lineRule="exact"/>
              <w:jc w:val="center"/>
              <w:rPr>
                <w:sz w:val="22"/>
                <w:szCs w:val="22"/>
              </w:rPr>
            </w:pPr>
            <w:r w:rsidRPr="005055C2">
              <w:rPr>
                <w:sz w:val="22"/>
                <w:szCs w:val="22"/>
              </w:rPr>
              <w:t>High</w:t>
            </w:r>
          </w:p>
        </w:tc>
      </w:tr>
      <w:tr w:rsidR="005055C2" w:rsidRPr="005055C2" w14:paraId="236789E3" w14:textId="77777777" w:rsidTr="005055C2">
        <w:trPr>
          <w:trHeight w:val="20"/>
          <w:jc w:val="center"/>
        </w:trPr>
        <w:tc>
          <w:tcPr>
            <w:tcW w:w="1606" w:type="pct"/>
            <w:shd w:val="clear" w:color="auto" w:fill="FFFFFF"/>
            <w:tcMar>
              <w:top w:w="135" w:type="dxa"/>
              <w:left w:w="120" w:type="dxa"/>
              <w:bottom w:w="135" w:type="dxa"/>
              <w:right w:w="120" w:type="dxa"/>
            </w:tcMar>
            <w:vAlign w:val="center"/>
          </w:tcPr>
          <w:p w14:paraId="0EEB3325" w14:textId="77777777" w:rsidR="005055C2" w:rsidRPr="005055C2" w:rsidRDefault="005055C2" w:rsidP="005055C2">
            <w:pPr>
              <w:spacing w:line="240" w:lineRule="exact"/>
              <w:jc w:val="center"/>
              <w:rPr>
                <w:sz w:val="22"/>
                <w:szCs w:val="22"/>
              </w:rPr>
            </w:pPr>
            <w:r w:rsidRPr="005055C2">
              <w:rPr>
                <w:sz w:val="22"/>
                <w:szCs w:val="22"/>
              </w:rPr>
              <w:t>Carbon fiber reinforced polymer</w:t>
            </w:r>
          </w:p>
        </w:tc>
        <w:tc>
          <w:tcPr>
            <w:tcW w:w="2473" w:type="pct"/>
            <w:shd w:val="clear" w:color="auto" w:fill="FFFFFF"/>
            <w:tcMar>
              <w:top w:w="135" w:type="dxa"/>
              <w:left w:w="120" w:type="dxa"/>
              <w:bottom w:w="135" w:type="dxa"/>
              <w:right w:w="120" w:type="dxa"/>
            </w:tcMar>
            <w:vAlign w:val="center"/>
          </w:tcPr>
          <w:p w14:paraId="7015C9BC" w14:textId="77777777" w:rsidR="005055C2" w:rsidRPr="005055C2" w:rsidRDefault="005055C2" w:rsidP="005055C2">
            <w:pPr>
              <w:spacing w:line="240" w:lineRule="exact"/>
              <w:jc w:val="center"/>
              <w:rPr>
                <w:sz w:val="22"/>
                <w:szCs w:val="22"/>
              </w:rPr>
            </w:pPr>
            <w:r w:rsidRPr="005055C2">
              <w:rPr>
                <w:sz w:val="22"/>
                <w:szCs w:val="22"/>
              </w:rPr>
              <w:t>About 1.6 g/cm³, which is 1/5 of steel</w:t>
            </w:r>
          </w:p>
        </w:tc>
        <w:tc>
          <w:tcPr>
            <w:tcW w:w="922" w:type="pct"/>
            <w:shd w:val="clear" w:color="auto" w:fill="FFFFFF"/>
            <w:tcMar>
              <w:top w:w="135" w:type="dxa"/>
              <w:left w:w="120" w:type="dxa"/>
              <w:bottom w:w="135" w:type="dxa"/>
              <w:right w:w="120" w:type="dxa"/>
            </w:tcMar>
            <w:vAlign w:val="center"/>
          </w:tcPr>
          <w:p w14:paraId="0EE93373" w14:textId="77777777" w:rsidR="005055C2" w:rsidRPr="005055C2" w:rsidRDefault="005055C2" w:rsidP="005055C2">
            <w:pPr>
              <w:spacing w:line="240" w:lineRule="exact"/>
              <w:jc w:val="center"/>
              <w:rPr>
                <w:sz w:val="22"/>
                <w:szCs w:val="22"/>
              </w:rPr>
            </w:pPr>
            <w:r w:rsidRPr="005055C2">
              <w:rPr>
                <w:sz w:val="22"/>
                <w:szCs w:val="22"/>
              </w:rPr>
              <w:t>Extremely high</w:t>
            </w:r>
          </w:p>
        </w:tc>
      </w:tr>
      <w:tr w:rsidR="005055C2" w:rsidRPr="005055C2" w14:paraId="719C6B70" w14:textId="77777777" w:rsidTr="00D465C7">
        <w:trPr>
          <w:trHeight w:val="25"/>
          <w:jc w:val="center"/>
        </w:trPr>
        <w:tc>
          <w:tcPr>
            <w:tcW w:w="1606" w:type="pct"/>
            <w:shd w:val="clear" w:color="auto" w:fill="FFFFFF"/>
            <w:tcMar>
              <w:top w:w="135" w:type="dxa"/>
              <w:left w:w="120" w:type="dxa"/>
              <w:bottom w:w="135" w:type="dxa"/>
              <w:right w:w="120" w:type="dxa"/>
            </w:tcMar>
            <w:vAlign w:val="center"/>
          </w:tcPr>
          <w:p w14:paraId="56218B67" w14:textId="77777777" w:rsidR="005055C2" w:rsidRPr="005055C2" w:rsidRDefault="005055C2" w:rsidP="005055C2">
            <w:pPr>
              <w:spacing w:line="240" w:lineRule="exact"/>
              <w:jc w:val="center"/>
              <w:rPr>
                <w:sz w:val="22"/>
                <w:szCs w:val="22"/>
              </w:rPr>
            </w:pPr>
            <w:r w:rsidRPr="005055C2">
              <w:rPr>
                <w:sz w:val="22"/>
                <w:szCs w:val="22"/>
              </w:rPr>
              <w:t>Fiberglass reinforced polymer</w:t>
            </w:r>
          </w:p>
        </w:tc>
        <w:tc>
          <w:tcPr>
            <w:tcW w:w="2473" w:type="pct"/>
            <w:shd w:val="clear" w:color="auto" w:fill="FFFFFF"/>
            <w:tcMar>
              <w:top w:w="135" w:type="dxa"/>
              <w:left w:w="120" w:type="dxa"/>
              <w:bottom w:w="135" w:type="dxa"/>
              <w:right w:w="120" w:type="dxa"/>
            </w:tcMar>
            <w:vAlign w:val="center"/>
          </w:tcPr>
          <w:p w14:paraId="5FEDC243" w14:textId="77777777" w:rsidR="005055C2" w:rsidRPr="005055C2" w:rsidRDefault="005055C2" w:rsidP="005055C2">
            <w:pPr>
              <w:spacing w:line="240" w:lineRule="exact"/>
              <w:jc w:val="center"/>
              <w:rPr>
                <w:sz w:val="22"/>
                <w:szCs w:val="22"/>
              </w:rPr>
            </w:pPr>
            <w:r w:rsidRPr="005055C2">
              <w:rPr>
                <w:sz w:val="22"/>
                <w:szCs w:val="22"/>
              </w:rPr>
              <w:t>About 2.0 g/cm³, which is 1/4 of steel</w:t>
            </w:r>
          </w:p>
        </w:tc>
        <w:tc>
          <w:tcPr>
            <w:tcW w:w="922" w:type="pct"/>
            <w:shd w:val="clear" w:color="auto" w:fill="FFFFFF"/>
            <w:tcMar>
              <w:top w:w="135" w:type="dxa"/>
              <w:left w:w="120" w:type="dxa"/>
              <w:bottom w:w="135" w:type="dxa"/>
              <w:right w:w="120" w:type="dxa"/>
            </w:tcMar>
            <w:vAlign w:val="center"/>
          </w:tcPr>
          <w:p w14:paraId="3F4267FF" w14:textId="77777777" w:rsidR="005055C2" w:rsidRPr="005055C2" w:rsidRDefault="005055C2" w:rsidP="005055C2">
            <w:pPr>
              <w:spacing w:line="240" w:lineRule="exact"/>
              <w:jc w:val="center"/>
              <w:rPr>
                <w:sz w:val="22"/>
                <w:szCs w:val="22"/>
              </w:rPr>
            </w:pPr>
            <w:r w:rsidRPr="005055C2">
              <w:rPr>
                <w:sz w:val="22"/>
                <w:szCs w:val="22"/>
              </w:rPr>
              <w:t>medium</w:t>
            </w:r>
          </w:p>
        </w:tc>
      </w:tr>
    </w:tbl>
    <w:p w14:paraId="18D2A4AC" w14:textId="46677E8C" w:rsidR="005055C2" w:rsidRPr="005055C2" w:rsidRDefault="005055C2" w:rsidP="005055C2">
      <w:pPr>
        <w:pStyle w:val="2"/>
        <w:numPr>
          <w:ilvl w:val="1"/>
          <w:numId w:val="9"/>
        </w:numPr>
      </w:pPr>
      <w:r w:rsidRPr="005055C2">
        <w:t>Synergistic Material-Structure Design Approaches</w:t>
      </w:r>
    </w:p>
    <w:p w14:paraId="64040D0F" w14:textId="37552052" w:rsidR="005055C2" w:rsidRPr="005055C2" w:rsidRDefault="005055C2" w:rsidP="005055C2">
      <w:pPr>
        <w:pStyle w:val="3"/>
        <w:rPr>
          <w:rFonts w:eastAsiaTheme="minorEastAsia"/>
          <w:lang w:eastAsia="zh-CN"/>
        </w:rPr>
      </w:pPr>
      <w:r w:rsidRPr="005055C2">
        <w:rPr>
          <w:rFonts w:eastAsiaTheme="minorEastAsia"/>
          <w:lang w:eastAsia="zh-CN"/>
        </w:rPr>
        <w:t>2.2.1</w:t>
      </w:r>
      <w:r>
        <w:rPr>
          <w:rFonts w:eastAsiaTheme="minorEastAsia" w:hint="eastAsia"/>
          <w:lang w:eastAsia="zh-CN"/>
        </w:rPr>
        <w:t>.</w:t>
      </w:r>
      <w:r w:rsidRPr="005055C2">
        <w:rPr>
          <w:rFonts w:eastAsiaTheme="minorEastAsia"/>
          <w:lang w:eastAsia="zh-CN"/>
        </w:rPr>
        <w:t xml:space="preserve"> Topology Optimization</w:t>
      </w:r>
    </w:p>
    <w:p w14:paraId="0A75E998" w14:textId="57C5CC52" w:rsidR="005055C2" w:rsidRPr="005055C2" w:rsidRDefault="005055C2" w:rsidP="005055C2">
      <w:pPr>
        <w:pStyle w:val="TTPParagraphothers"/>
        <w:ind w:firstLine="284"/>
      </w:pPr>
      <w:r w:rsidRPr="005055C2">
        <w:t>This structural optimization method uses mathematical programming to determine optimal material distribution within a design space under given loads and constraints [</w:t>
      </w:r>
      <w:r w:rsidRPr="005055C2">
        <w:rPr>
          <w:lang w:eastAsia="zh-CN"/>
        </w:rPr>
        <w:t>10</w:t>
      </w:r>
      <w:r w:rsidRPr="005055C2">
        <w:t>]. For automotive lightweighting, it identifies efficient load paths, removes redundant material, and minimizes weight while ensuring structural integrity [1</w:t>
      </w:r>
      <w:r w:rsidRPr="005055C2">
        <w:rPr>
          <w:lang w:eastAsia="zh-CN"/>
        </w:rPr>
        <w:t>1</w:t>
      </w:r>
      <w:r w:rsidRPr="005055C2">
        <w:t>]. For example, the Audi A8's frame is topology-optimized to reinforce high-stress zones and hollow non-critical areas, achieving weight-strength equilibrium. Iterative finite element analysis typically refines the structural topology until requirements are met.</w:t>
      </w:r>
    </w:p>
    <w:p w14:paraId="688F2A55" w14:textId="30FB64C1" w:rsidR="005055C2" w:rsidRPr="005055C2" w:rsidRDefault="005055C2" w:rsidP="005055C2">
      <w:pPr>
        <w:pStyle w:val="3"/>
        <w:rPr>
          <w:rFonts w:eastAsiaTheme="minorEastAsia"/>
          <w:lang w:eastAsia="zh-CN"/>
        </w:rPr>
      </w:pPr>
      <w:r w:rsidRPr="005055C2">
        <w:rPr>
          <w:rFonts w:eastAsiaTheme="minorEastAsia"/>
          <w:lang w:eastAsia="zh-CN"/>
        </w:rPr>
        <w:t>2.2.2</w:t>
      </w:r>
      <w:r>
        <w:rPr>
          <w:rFonts w:eastAsiaTheme="minorEastAsia" w:hint="eastAsia"/>
          <w:lang w:eastAsia="zh-CN"/>
        </w:rPr>
        <w:t>.</w:t>
      </w:r>
      <w:r w:rsidRPr="005055C2">
        <w:rPr>
          <w:rFonts w:eastAsiaTheme="minorEastAsia"/>
          <w:lang w:eastAsia="zh-CN"/>
        </w:rPr>
        <w:t xml:space="preserve"> Lattice Structure Design</w:t>
      </w:r>
    </w:p>
    <w:p w14:paraId="5757EEF8" w14:textId="77777777" w:rsidR="005055C2" w:rsidRDefault="005055C2" w:rsidP="005055C2">
      <w:pPr>
        <w:pStyle w:val="TTPParagraphothers"/>
        <w:ind w:firstLine="284"/>
      </w:pPr>
      <w:r w:rsidRPr="005055C2">
        <w:t>Lattice structures offer numerous unique advantages. As a type of periodic microscopic architecture, they exhibit remarkable characteristics such as light weight, high specific strength, and excellent energy absorption performance</w:t>
      </w:r>
      <w:r w:rsidRPr="005055C2">
        <w:rPr>
          <w:lang w:eastAsia="zh-CN"/>
        </w:rPr>
        <w:t xml:space="preserve"> </w:t>
      </w:r>
      <w:r w:rsidRPr="005055C2">
        <w:t>[1</w:t>
      </w:r>
      <w:r w:rsidRPr="005055C2">
        <w:rPr>
          <w:lang w:eastAsia="zh-CN"/>
        </w:rPr>
        <w:t>2</w:t>
      </w:r>
      <w:r w:rsidRPr="005055C2">
        <w:t xml:space="preserve">]. As shown in </w:t>
      </w:r>
      <w:r w:rsidRPr="005055C2">
        <w:rPr>
          <w:b/>
          <w:bCs/>
        </w:rPr>
        <w:t>Table 2</w:t>
      </w:r>
      <w:r w:rsidRPr="005055C2">
        <w:t xml:space="preserve">, honeycomb lattices comprise various structural configurations: those consisting of hexagonal unit cells arranged in a regular, tightly-packed pattern; rhombic lattices composed of diamond-shaped unit cells with an ordered distribution; and cubic lattices formed by the orderly stacking of cubic unit cells. These lattice structures hold significant importance in materials science and engineering applications. Due to their distinctive geometric shapes and arrangement patterns, they can endow materials with diverse mechanical properties and functional characteristics. For instance, honeycomb lattice structures are widely used in automotive body frames. Their unique hexagonal grid layout ensures structural strength while substantially reducing weight. As illustrated in </w:t>
      </w:r>
      <w:r w:rsidRPr="005055C2">
        <w:rPr>
          <w:b/>
          <w:bCs/>
        </w:rPr>
        <w:t>Fig</w:t>
      </w:r>
      <w:r w:rsidRPr="005055C2">
        <w:rPr>
          <w:b/>
          <w:bCs/>
          <w:lang w:eastAsia="zh-CN"/>
        </w:rPr>
        <w:t>.</w:t>
      </w:r>
      <w:r w:rsidRPr="005055C2">
        <w:rPr>
          <w:b/>
          <w:bCs/>
        </w:rPr>
        <w:t xml:space="preserve"> 2</w:t>
      </w:r>
      <w:r w:rsidRPr="005055C2">
        <w:t>, designers can flexibly adjust the geometry and arrangement of unit cells based on the specific load-bearing requirements of components, thereby precisely tailoring structural performance to fully meet the dual stringent demands of automotive lightweighting and safety performance</w:t>
      </w:r>
      <w:r w:rsidRPr="005055C2">
        <w:rPr>
          <w:lang w:eastAsia="zh-CN"/>
        </w:rPr>
        <w:t xml:space="preserve"> </w:t>
      </w:r>
      <w:r w:rsidRPr="005055C2">
        <w:t>[1</w:t>
      </w:r>
      <w:r w:rsidRPr="005055C2">
        <w:rPr>
          <w:lang w:eastAsia="zh-CN"/>
        </w:rPr>
        <w:t>3</w:t>
      </w:r>
      <w:r w:rsidRPr="005055C2">
        <w:t>].</w:t>
      </w:r>
    </w:p>
    <w:p w14:paraId="5B4C8AFB" w14:textId="77777777" w:rsidR="00D465C7" w:rsidRPr="00D465C7" w:rsidRDefault="00D465C7" w:rsidP="00D465C7"/>
    <w:p w14:paraId="6377961B" w14:textId="06A9890D" w:rsidR="005055C2" w:rsidRPr="005055C2" w:rsidRDefault="005055C2" w:rsidP="005055C2">
      <w:pPr>
        <w:pStyle w:val="3"/>
        <w:rPr>
          <w:rFonts w:eastAsiaTheme="minorEastAsia"/>
          <w:lang w:eastAsia="zh-CN"/>
        </w:rPr>
      </w:pPr>
      <w:r w:rsidRPr="005055C2">
        <w:rPr>
          <w:rFonts w:eastAsiaTheme="minorEastAsia"/>
          <w:lang w:eastAsia="zh-CN"/>
        </w:rPr>
        <w:lastRenderedPageBreak/>
        <w:t>2.2.3</w:t>
      </w:r>
      <w:r>
        <w:rPr>
          <w:rFonts w:eastAsiaTheme="minorEastAsia" w:hint="eastAsia"/>
          <w:lang w:eastAsia="zh-CN"/>
        </w:rPr>
        <w:t>.</w:t>
      </w:r>
      <w:r w:rsidRPr="005055C2">
        <w:rPr>
          <w:rFonts w:eastAsiaTheme="minorEastAsia"/>
          <w:lang w:eastAsia="zh-CN"/>
        </w:rPr>
        <w:t xml:space="preserve"> Functionally Graded Materials (FGMs)</w:t>
      </w:r>
    </w:p>
    <w:p w14:paraId="7DC666DE" w14:textId="77777777" w:rsidR="005055C2" w:rsidRPr="005055C2" w:rsidRDefault="005055C2" w:rsidP="005055C2">
      <w:pPr>
        <w:pStyle w:val="TTPParagraphothers"/>
        <w:ind w:firstLine="284"/>
      </w:pPr>
      <w:r w:rsidRPr="005055C2">
        <w:t>FGMs exhibit spatially continuous gradients in composition and properties. In lightweight automotive design, they enable location-specific material properties aligned with structural stress demands</w:t>
      </w:r>
      <w:r w:rsidRPr="005055C2">
        <w:rPr>
          <w:lang w:eastAsia="zh-CN"/>
        </w:rPr>
        <w:t xml:space="preserve"> </w:t>
      </w:r>
      <w:r w:rsidRPr="005055C2">
        <w:t>[1</w:t>
      </w:r>
      <w:r w:rsidRPr="005055C2">
        <w:rPr>
          <w:lang w:eastAsia="zh-CN"/>
        </w:rPr>
        <w:t>4</w:t>
      </w:r>
      <w:r w:rsidRPr="005055C2">
        <w:t>]. For instance, engine pistons can use FGMs to combine high-temperature resistance at the crown with wear-resistant skirts. Manufacturing methods include powder metallurgy, physical/chemical vapor deposition, where precise composition/process control achieves gradient properties.</w:t>
      </w:r>
    </w:p>
    <w:p w14:paraId="3F65436A" w14:textId="77777777" w:rsidR="005055C2" w:rsidRPr="005055C2" w:rsidRDefault="005055C2" w:rsidP="005055C2">
      <w:pPr>
        <w:pStyle w:val="Figure"/>
        <w:spacing w:line="240" w:lineRule="auto"/>
        <w:rPr>
          <w:bCs/>
          <w:sz w:val="24"/>
          <w:szCs w:val="24"/>
        </w:rPr>
      </w:pPr>
      <w:r w:rsidRPr="005055C2">
        <w:rPr>
          <w:b/>
          <w:sz w:val="24"/>
          <w:szCs w:val="24"/>
        </w:rPr>
        <w:t xml:space="preserve">Table 2. </w:t>
      </w:r>
      <w:r w:rsidRPr="005055C2">
        <w:rPr>
          <w:sz w:val="24"/>
          <w:szCs w:val="24"/>
        </w:rPr>
        <w:t>Different</w:t>
      </w:r>
      <w:r w:rsidRPr="005055C2">
        <w:rPr>
          <w:bCs/>
          <w:sz w:val="24"/>
          <w:szCs w:val="24"/>
        </w:rPr>
        <w:t xml:space="preserve"> lattice structures and their application effects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0" w:type="dxa"/>
          <w:bottom w:w="15" w:type="dxa"/>
          <w:right w:w="0" w:type="dxa"/>
        </w:tblCellMar>
        <w:tblLook w:val="04A0" w:firstRow="1" w:lastRow="0" w:firstColumn="1" w:lastColumn="0" w:noHBand="0" w:noVBand="1"/>
      </w:tblPr>
      <w:tblGrid>
        <w:gridCol w:w="2948"/>
        <w:gridCol w:w="2879"/>
        <w:gridCol w:w="3802"/>
      </w:tblGrid>
      <w:tr w:rsidR="005055C2" w:rsidRPr="005055C2" w14:paraId="0C81AADE" w14:textId="77777777" w:rsidTr="005055C2">
        <w:trPr>
          <w:trHeight w:val="233"/>
          <w:jc w:val="center"/>
        </w:trPr>
        <w:tc>
          <w:tcPr>
            <w:tcW w:w="1531" w:type="pct"/>
            <w:shd w:val="clear" w:color="auto" w:fill="FFFFFF"/>
            <w:tcMar>
              <w:top w:w="135" w:type="dxa"/>
              <w:left w:w="120" w:type="dxa"/>
              <w:bottom w:w="135" w:type="dxa"/>
              <w:right w:w="120" w:type="dxa"/>
            </w:tcMar>
            <w:vAlign w:val="center"/>
          </w:tcPr>
          <w:p w14:paraId="2AD82196" w14:textId="77777777" w:rsidR="005055C2" w:rsidRPr="005055C2" w:rsidRDefault="005055C2" w:rsidP="005055C2">
            <w:pPr>
              <w:spacing w:line="240" w:lineRule="exact"/>
              <w:jc w:val="center"/>
              <w:rPr>
                <w:sz w:val="22"/>
                <w:szCs w:val="22"/>
              </w:rPr>
            </w:pPr>
            <w:r w:rsidRPr="005055C2">
              <w:rPr>
                <w:sz w:val="22"/>
                <w:szCs w:val="22"/>
              </w:rPr>
              <w:t>Lattice structure type</w:t>
            </w:r>
          </w:p>
        </w:tc>
        <w:tc>
          <w:tcPr>
            <w:tcW w:w="1495" w:type="pct"/>
            <w:shd w:val="clear" w:color="auto" w:fill="FFFFFF"/>
            <w:tcMar>
              <w:top w:w="135" w:type="dxa"/>
              <w:left w:w="120" w:type="dxa"/>
              <w:bottom w:w="135" w:type="dxa"/>
              <w:right w:w="120" w:type="dxa"/>
            </w:tcMar>
            <w:vAlign w:val="center"/>
          </w:tcPr>
          <w:p w14:paraId="408D366F" w14:textId="77777777" w:rsidR="005055C2" w:rsidRPr="005055C2" w:rsidRDefault="005055C2" w:rsidP="005055C2">
            <w:pPr>
              <w:spacing w:line="240" w:lineRule="exact"/>
              <w:jc w:val="center"/>
              <w:rPr>
                <w:sz w:val="22"/>
                <w:szCs w:val="22"/>
              </w:rPr>
            </w:pPr>
            <w:r w:rsidRPr="005055C2">
              <w:rPr>
                <w:sz w:val="22"/>
                <w:szCs w:val="22"/>
              </w:rPr>
              <w:t>Single cell geometry</w:t>
            </w:r>
          </w:p>
        </w:tc>
        <w:tc>
          <w:tcPr>
            <w:tcW w:w="1974" w:type="pct"/>
            <w:shd w:val="clear" w:color="auto" w:fill="FFFFFF"/>
            <w:tcMar>
              <w:top w:w="135" w:type="dxa"/>
              <w:left w:w="120" w:type="dxa"/>
              <w:bottom w:w="135" w:type="dxa"/>
              <w:right w:w="120" w:type="dxa"/>
            </w:tcMar>
            <w:vAlign w:val="center"/>
          </w:tcPr>
          <w:p w14:paraId="046E09FC" w14:textId="77777777" w:rsidR="005055C2" w:rsidRPr="005055C2" w:rsidRDefault="005055C2" w:rsidP="005055C2">
            <w:pPr>
              <w:spacing w:line="240" w:lineRule="exact"/>
              <w:jc w:val="center"/>
              <w:rPr>
                <w:sz w:val="22"/>
                <w:szCs w:val="22"/>
              </w:rPr>
            </w:pPr>
            <w:r w:rsidRPr="005055C2">
              <w:rPr>
                <w:sz w:val="22"/>
                <w:szCs w:val="22"/>
              </w:rPr>
              <w:t>Arrangement characteristics</w:t>
            </w:r>
          </w:p>
        </w:tc>
      </w:tr>
      <w:tr w:rsidR="005055C2" w:rsidRPr="005055C2" w14:paraId="2EC49219" w14:textId="77777777" w:rsidTr="005055C2">
        <w:trPr>
          <w:trHeight w:val="20"/>
          <w:jc w:val="center"/>
        </w:trPr>
        <w:tc>
          <w:tcPr>
            <w:tcW w:w="1531" w:type="pct"/>
            <w:shd w:val="clear" w:color="auto" w:fill="FFFFFF"/>
            <w:tcMar>
              <w:top w:w="135" w:type="dxa"/>
              <w:left w:w="120" w:type="dxa"/>
              <w:bottom w:w="135" w:type="dxa"/>
              <w:right w:w="120" w:type="dxa"/>
            </w:tcMar>
            <w:vAlign w:val="center"/>
          </w:tcPr>
          <w:p w14:paraId="6584C177" w14:textId="77777777" w:rsidR="005055C2" w:rsidRPr="005055C2" w:rsidRDefault="005055C2" w:rsidP="005055C2">
            <w:pPr>
              <w:spacing w:line="240" w:lineRule="exact"/>
              <w:jc w:val="center"/>
              <w:rPr>
                <w:sz w:val="22"/>
                <w:szCs w:val="22"/>
              </w:rPr>
            </w:pPr>
            <w:r w:rsidRPr="005055C2">
              <w:rPr>
                <w:sz w:val="22"/>
                <w:szCs w:val="22"/>
              </w:rPr>
              <w:t>Honeycomb lattice</w:t>
            </w:r>
          </w:p>
        </w:tc>
        <w:tc>
          <w:tcPr>
            <w:tcW w:w="1495" w:type="pct"/>
            <w:shd w:val="clear" w:color="auto" w:fill="FFFFFF"/>
            <w:tcMar>
              <w:top w:w="135" w:type="dxa"/>
              <w:left w:w="120" w:type="dxa"/>
              <w:bottom w:w="135" w:type="dxa"/>
              <w:right w:w="120" w:type="dxa"/>
            </w:tcMar>
            <w:vAlign w:val="center"/>
          </w:tcPr>
          <w:p w14:paraId="30FEE2A0" w14:textId="77777777" w:rsidR="005055C2" w:rsidRPr="005055C2" w:rsidRDefault="005055C2" w:rsidP="005055C2">
            <w:pPr>
              <w:spacing w:line="240" w:lineRule="exact"/>
              <w:jc w:val="center"/>
              <w:rPr>
                <w:sz w:val="22"/>
                <w:szCs w:val="22"/>
              </w:rPr>
            </w:pPr>
            <w:r w:rsidRPr="005055C2">
              <w:rPr>
                <w:sz w:val="22"/>
                <w:szCs w:val="22"/>
              </w:rPr>
              <w:t>hexagon</w:t>
            </w:r>
          </w:p>
        </w:tc>
        <w:tc>
          <w:tcPr>
            <w:tcW w:w="1974" w:type="pct"/>
            <w:shd w:val="clear" w:color="auto" w:fill="FFFFFF"/>
            <w:tcMar>
              <w:top w:w="135" w:type="dxa"/>
              <w:left w:w="120" w:type="dxa"/>
              <w:bottom w:w="135" w:type="dxa"/>
              <w:right w:w="120" w:type="dxa"/>
            </w:tcMar>
            <w:vAlign w:val="center"/>
          </w:tcPr>
          <w:p w14:paraId="3D48D949" w14:textId="77777777" w:rsidR="005055C2" w:rsidRPr="005055C2" w:rsidRDefault="005055C2" w:rsidP="005055C2">
            <w:pPr>
              <w:spacing w:line="240" w:lineRule="exact"/>
              <w:jc w:val="center"/>
              <w:rPr>
                <w:sz w:val="22"/>
                <w:szCs w:val="22"/>
              </w:rPr>
            </w:pPr>
            <w:r w:rsidRPr="005055C2">
              <w:rPr>
                <w:sz w:val="22"/>
                <w:szCs w:val="22"/>
              </w:rPr>
              <w:t>Closely arranged</w:t>
            </w:r>
          </w:p>
        </w:tc>
      </w:tr>
      <w:tr w:rsidR="005055C2" w:rsidRPr="005055C2" w14:paraId="0F438480" w14:textId="77777777" w:rsidTr="005055C2">
        <w:trPr>
          <w:trHeight w:val="20"/>
          <w:jc w:val="center"/>
        </w:trPr>
        <w:tc>
          <w:tcPr>
            <w:tcW w:w="1531" w:type="pct"/>
            <w:shd w:val="clear" w:color="auto" w:fill="FFFFFF"/>
            <w:tcMar>
              <w:top w:w="135" w:type="dxa"/>
              <w:left w:w="120" w:type="dxa"/>
              <w:bottom w:w="135" w:type="dxa"/>
              <w:right w:w="120" w:type="dxa"/>
            </w:tcMar>
            <w:vAlign w:val="center"/>
          </w:tcPr>
          <w:p w14:paraId="462594FC" w14:textId="77777777" w:rsidR="005055C2" w:rsidRPr="005055C2" w:rsidRDefault="005055C2" w:rsidP="005055C2">
            <w:pPr>
              <w:spacing w:line="240" w:lineRule="exact"/>
              <w:jc w:val="center"/>
              <w:rPr>
                <w:sz w:val="22"/>
                <w:szCs w:val="22"/>
              </w:rPr>
            </w:pPr>
            <w:r w:rsidRPr="005055C2">
              <w:rPr>
                <w:sz w:val="22"/>
                <w:szCs w:val="22"/>
              </w:rPr>
              <w:t>Diamond lattice</w:t>
            </w:r>
          </w:p>
        </w:tc>
        <w:tc>
          <w:tcPr>
            <w:tcW w:w="1495" w:type="pct"/>
            <w:shd w:val="clear" w:color="auto" w:fill="FFFFFF"/>
            <w:tcMar>
              <w:top w:w="135" w:type="dxa"/>
              <w:left w:w="120" w:type="dxa"/>
              <w:bottom w:w="135" w:type="dxa"/>
              <w:right w:w="120" w:type="dxa"/>
            </w:tcMar>
            <w:vAlign w:val="center"/>
          </w:tcPr>
          <w:p w14:paraId="2AD16176" w14:textId="77777777" w:rsidR="005055C2" w:rsidRPr="005055C2" w:rsidRDefault="005055C2" w:rsidP="005055C2">
            <w:pPr>
              <w:spacing w:line="240" w:lineRule="exact"/>
              <w:jc w:val="center"/>
              <w:rPr>
                <w:sz w:val="22"/>
                <w:szCs w:val="22"/>
              </w:rPr>
            </w:pPr>
            <w:r w:rsidRPr="005055C2">
              <w:rPr>
                <w:sz w:val="22"/>
                <w:szCs w:val="22"/>
              </w:rPr>
              <w:t>lozenge</w:t>
            </w:r>
          </w:p>
        </w:tc>
        <w:tc>
          <w:tcPr>
            <w:tcW w:w="1974" w:type="pct"/>
            <w:shd w:val="clear" w:color="auto" w:fill="FFFFFF"/>
            <w:tcMar>
              <w:top w:w="135" w:type="dxa"/>
              <w:left w:w="120" w:type="dxa"/>
              <w:bottom w:w="135" w:type="dxa"/>
              <w:right w:w="120" w:type="dxa"/>
            </w:tcMar>
            <w:vAlign w:val="center"/>
          </w:tcPr>
          <w:p w14:paraId="3D94C482" w14:textId="77777777" w:rsidR="005055C2" w:rsidRPr="005055C2" w:rsidRDefault="005055C2" w:rsidP="005055C2">
            <w:pPr>
              <w:spacing w:line="240" w:lineRule="exact"/>
              <w:jc w:val="center"/>
              <w:rPr>
                <w:sz w:val="22"/>
                <w:szCs w:val="22"/>
              </w:rPr>
            </w:pPr>
            <w:r w:rsidRPr="005055C2">
              <w:rPr>
                <w:sz w:val="22"/>
                <w:szCs w:val="22"/>
              </w:rPr>
              <w:t>Ordered distribution</w:t>
            </w:r>
          </w:p>
        </w:tc>
      </w:tr>
      <w:tr w:rsidR="005055C2" w:rsidRPr="005055C2" w14:paraId="70E9BB24" w14:textId="77777777" w:rsidTr="005055C2">
        <w:trPr>
          <w:trHeight w:val="20"/>
          <w:jc w:val="center"/>
        </w:trPr>
        <w:tc>
          <w:tcPr>
            <w:tcW w:w="1531" w:type="pct"/>
            <w:shd w:val="clear" w:color="auto" w:fill="FFFFFF"/>
            <w:tcMar>
              <w:top w:w="135" w:type="dxa"/>
              <w:left w:w="120" w:type="dxa"/>
              <w:bottom w:w="135" w:type="dxa"/>
              <w:right w:w="120" w:type="dxa"/>
            </w:tcMar>
            <w:vAlign w:val="center"/>
          </w:tcPr>
          <w:p w14:paraId="2C3ECABD" w14:textId="77777777" w:rsidR="005055C2" w:rsidRPr="005055C2" w:rsidRDefault="005055C2" w:rsidP="005055C2">
            <w:pPr>
              <w:spacing w:line="240" w:lineRule="exact"/>
              <w:jc w:val="center"/>
              <w:rPr>
                <w:sz w:val="22"/>
                <w:szCs w:val="22"/>
              </w:rPr>
            </w:pPr>
            <w:r w:rsidRPr="005055C2">
              <w:rPr>
                <w:sz w:val="22"/>
                <w:szCs w:val="22"/>
              </w:rPr>
              <w:t>Cubic lattice</w:t>
            </w:r>
          </w:p>
        </w:tc>
        <w:tc>
          <w:tcPr>
            <w:tcW w:w="1495" w:type="pct"/>
            <w:shd w:val="clear" w:color="auto" w:fill="FFFFFF"/>
            <w:tcMar>
              <w:top w:w="135" w:type="dxa"/>
              <w:left w:w="120" w:type="dxa"/>
              <w:bottom w:w="135" w:type="dxa"/>
              <w:right w:w="120" w:type="dxa"/>
            </w:tcMar>
            <w:vAlign w:val="center"/>
          </w:tcPr>
          <w:p w14:paraId="7FF47CE3" w14:textId="77777777" w:rsidR="005055C2" w:rsidRPr="005055C2" w:rsidRDefault="005055C2" w:rsidP="005055C2">
            <w:pPr>
              <w:spacing w:line="240" w:lineRule="exact"/>
              <w:jc w:val="center"/>
              <w:rPr>
                <w:sz w:val="22"/>
                <w:szCs w:val="22"/>
              </w:rPr>
            </w:pPr>
            <w:r w:rsidRPr="005055C2">
              <w:rPr>
                <w:sz w:val="22"/>
                <w:szCs w:val="22"/>
              </w:rPr>
              <w:t>cube</w:t>
            </w:r>
          </w:p>
        </w:tc>
        <w:tc>
          <w:tcPr>
            <w:tcW w:w="1974" w:type="pct"/>
            <w:shd w:val="clear" w:color="auto" w:fill="FFFFFF"/>
            <w:tcMar>
              <w:top w:w="135" w:type="dxa"/>
              <w:left w:w="120" w:type="dxa"/>
              <w:bottom w:w="135" w:type="dxa"/>
              <w:right w:w="120" w:type="dxa"/>
            </w:tcMar>
            <w:vAlign w:val="center"/>
          </w:tcPr>
          <w:p w14:paraId="61681490" w14:textId="77777777" w:rsidR="005055C2" w:rsidRPr="005055C2" w:rsidRDefault="005055C2" w:rsidP="005055C2">
            <w:pPr>
              <w:spacing w:line="240" w:lineRule="exact"/>
              <w:jc w:val="center"/>
              <w:rPr>
                <w:sz w:val="22"/>
                <w:szCs w:val="22"/>
              </w:rPr>
            </w:pPr>
            <w:r w:rsidRPr="005055C2">
              <w:rPr>
                <w:sz w:val="22"/>
                <w:szCs w:val="22"/>
              </w:rPr>
              <w:t>Stack neatly</w:t>
            </w:r>
          </w:p>
        </w:tc>
      </w:tr>
    </w:tbl>
    <w:p w14:paraId="51BD4452" w14:textId="77777777" w:rsidR="005055C2" w:rsidRPr="0075609D" w:rsidRDefault="005055C2" w:rsidP="0075609D"/>
    <w:p w14:paraId="64F2DB86" w14:textId="77777777" w:rsidR="005055C2" w:rsidRPr="005055C2" w:rsidRDefault="005055C2" w:rsidP="005055C2">
      <w:pPr>
        <w:pStyle w:val="TTPParagraphothers"/>
        <w:spacing w:before="120"/>
        <w:ind w:firstLine="0"/>
        <w:jc w:val="center"/>
        <w:rPr>
          <w:noProof/>
          <w:szCs w:val="20"/>
        </w:rPr>
      </w:pPr>
      <w:r w:rsidRPr="005055C2">
        <w:rPr>
          <w:noProof/>
          <w:szCs w:val="20"/>
        </w:rPr>
        <w:drawing>
          <wp:inline distT="0" distB="0" distL="114300" distR="114300" wp14:anchorId="7CF15C32" wp14:editId="739DD6BF">
            <wp:extent cx="3689041" cy="4298868"/>
            <wp:effectExtent l="0" t="0" r="6985" b="6985"/>
            <wp:docPr id="4" name="图片 4" descr="3274654130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2746541301354"/>
                    <pic:cNvPicPr>
                      <a:picLocks noChangeAspect="1"/>
                    </pic:cNvPicPr>
                  </pic:nvPicPr>
                  <pic:blipFill>
                    <a:blip r:embed="rId10"/>
                    <a:stretch>
                      <a:fillRect/>
                    </a:stretch>
                  </pic:blipFill>
                  <pic:spPr>
                    <a:xfrm>
                      <a:off x="0" y="0"/>
                      <a:ext cx="3793833" cy="4420983"/>
                    </a:xfrm>
                    <a:prstGeom prst="rect">
                      <a:avLst/>
                    </a:prstGeom>
                  </pic:spPr>
                </pic:pic>
              </a:graphicData>
            </a:graphic>
          </wp:inline>
        </w:drawing>
      </w:r>
    </w:p>
    <w:p w14:paraId="53DC866F" w14:textId="77777777" w:rsidR="005055C2" w:rsidRPr="005055C2" w:rsidRDefault="005055C2" w:rsidP="005055C2">
      <w:pPr>
        <w:pStyle w:val="Figure"/>
        <w:spacing w:line="240" w:lineRule="auto"/>
        <w:rPr>
          <w:sz w:val="24"/>
          <w:szCs w:val="24"/>
        </w:rPr>
      </w:pPr>
      <w:r w:rsidRPr="005055C2">
        <w:rPr>
          <w:b/>
          <w:sz w:val="24"/>
          <w:szCs w:val="24"/>
        </w:rPr>
        <w:t xml:space="preserve">Fig. 2 </w:t>
      </w:r>
      <w:r w:rsidRPr="005055C2">
        <w:rPr>
          <w:bCs/>
          <w:sz w:val="24"/>
          <w:szCs w:val="24"/>
        </w:rPr>
        <w:t xml:space="preserve">Schematic diagram of the </w:t>
      </w:r>
      <w:r w:rsidRPr="005055C2">
        <w:rPr>
          <w:bCs/>
          <w:color w:val="000000" w:themeColor="text1"/>
          <w:sz w:val="24"/>
          <w:szCs w:val="24"/>
        </w:rPr>
        <w:t>lattice</w:t>
      </w:r>
      <w:r w:rsidRPr="005055C2">
        <w:rPr>
          <w:bCs/>
          <w:sz w:val="24"/>
          <w:szCs w:val="24"/>
        </w:rPr>
        <w:t xml:space="preserve"> structure</w:t>
      </w:r>
      <w:r w:rsidRPr="005055C2">
        <w:rPr>
          <w:bCs/>
          <w:sz w:val="24"/>
          <w:szCs w:val="24"/>
          <w:lang w:eastAsia="zh-CN"/>
        </w:rPr>
        <w:t xml:space="preserve"> </w:t>
      </w:r>
      <w:r w:rsidRPr="005055C2">
        <w:rPr>
          <w:sz w:val="24"/>
          <w:szCs w:val="24"/>
          <w:lang w:eastAsia="zh-CN"/>
        </w:rPr>
        <w:t xml:space="preserve">[15] </w:t>
      </w:r>
    </w:p>
    <w:p w14:paraId="4E1E3999" w14:textId="5CF1E192" w:rsidR="005055C2" w:rsidRPr="005055C2" w:rsidRDefault="005055C2" w:rsidP="005055C2">
      <w:pPr>
        <w:pStyle w:val="2"/>
        <w:numPr>
          <w:ilvl w:val="1"/>
          <w:numId w:val="9"/>
        </w:numPr>
      </w:pPr>
      <w:r w:rsidRPr="005055C2">
        <w:t>Lightweight Design Strategies</w:t>
      </w:r>
    </w:p>
    <w:p w14:paraId="78948449" w14:textId="4B02E916" w:rsidR="005055C2" w:rsidRPr="005055C2" w:rsidRDefault="005055C2" w:rsidP="005055C2">
      <w:pPr>
        <w:pStyle w:val="3"/>
        <w:rPr>
          <w:rFonts w:eastAsiaTheme="minorEastAsia"/>
          <w:lang w:eastAsia="zh-CN"/>
        </w:rPr>
      </w:pPr>
      <w:r w:rsidRPr="005055C2">
        <w:rPr>
          <w:rFonts w:eastAsiaTheme="minorEastAsia"/>
          <w:lang w:eastAsia="zh-CN"/>
        </w:rPr>
        <w:t>2.3.1</w:t>
      </w:r>
      <w:r>
        <w:rPr>
          <w:rFonts w:eastAsiaTheme="minorEastAsia" w:hint="eastAsia"/>
          <w:lang w:eastAsia="zh-CN"/>
        </w:rPr>
        <w:t>.</w:t>
      </w:r>
      <w:r w:rsidRPr="005055C2">
        <w:rPr>
          <w:rFonts w:eastAsiaTheme="minorEastAsia"/>
          <w:lang w:eastAsia="zh-CN"/>
        </w:rPr>
        <w:t xml:space="preserve"> Multi-Material Hybrid Structures</w:t>
      </w:r>
    </w:p>
    <w:p w14:paraId="74A3DF53" w14:textId="72642342" w:rsidR="005055C2" w:rsidRPr="005055C2" w:rsidRDefault="005055C2" w:rsidP="005055C2">
      <w:pPr>
        <w:pStyle w:val="TTPParagraphothers"/>
        <w:ind w:firstLine="284"/>
      </w:pPr>
      <w:r w:rsidRPr="005055C2">
        <w:t>This strategy combines lightweight materials to leverage their respective advantages. Examples include: Aluminum alloys for body panels (weight reduction)</w:t>
      </w:r>
      <w:r>
        <w:rPr>
          <w:rFonts w:hint="eastAsia"/>
          <w:lang w:eastAsia="zh-CN"/>
        </w:rPr>
        <w:t xml:space="preserve">, </w:t>
      </w:r>
      <w:r w:rsidRPr="005055C2">
        <w:t>high-strength steel in crash-critical zones (A/B-pillars; safety assurance)</w:t>
      </w:r>
      <w:r>
        <w:t xml:space="preserve">, </w:t>
      </w:r>
      <w:r w:rsidRPr="005055C2">
        <w:t>composites in select frame sections (further weight reduction + performance gains) [1</w:t>
      </w:r>
      <w:r w:rsidRPr="005055C2">
        <w:rPr>
          <w:lang w:eastAsia="zh-CN"/>
        </w:rPr>
        <w:t>6</w:t>
      </w:r>
      <w:r w:rsidRPr="005055C2">
        <w:t>]. Key challenges involve joining dissimilar materials; solutions include riveting, welding, and adhesive bonding.</w:t>
      </w:r>
    </w:p>
    <w:p w14:paraId="4DBB6844" w14:textId="5BE3BE28" w:rsidR="005055C2" w:rsidRPr="005055C2" w:rsidRDefault="005055C2" w:rsidP="005055C2">
      <w:pPr>
        <w:pStyle w:val="3"/>
        <w:rPr>
          <w:rFonts w:eastAsiaTheme="minorEastAsia"/>
          <w:lang w:eastAsia="zh-CN"/>
        </w:rPr>
      </w:pPr>
      <w:r w:rsidRPr="005055C2">
        <w:rPr>
          <w:rFonts w:eastAsiaTheme="minorEastAsia"/>
          <w:lang w:eastAsia="zh-CN"/>
        </w:rPr>
        <w:lastRenderedPageBreak/>
        <w:t>2.3.2</w:t>
      </w:r>
      <w:r>
        <w:rPr>
          <w:rFonts w:eastAsiaTheme="minorEastAsia" w:hint="eastAsia"/>
          <w:lang w:eastAsia="zh-CN"/>
        </w:rPr>
        <w:t>.</w:t>
      </w:r>
      <w:r w:rsidRPr="005055C2">
        <w:rPr>
          <w:rFonts w:eastAsiaTheme="minorEastAsia"/>
          <w:lang w:eastAsia="zh-CN"/>
        </w:rPr>
        <w:t xml:space="preserve"> Hot-Formed Structural Components</w:t>
      </w:r>
    </w:p>
    <w:p w14:paraId="299BCEF3" w14:textId="77777777" w:rsidR="005055C2" w:rsidRPr="005055C2" w:rsidRDefault="005055C2" w:rsidP="005055C2">
      <w:pPr>
        <w:pStyle w:val="TTPParagraphothers"/>
        <w:ind w:firstLine="284"/>
      </w:pPr>
      <w:r w:rsidRPr="005055C2">
        <w:t>Hot forming (press hardening) heats sheet metal to austenitizing temperatures, followed by simultaneous forming/quenching in cooled dies. It enables thinner gauges of ultra-high-strength steel (UHSS) while achieving tensile strengths ≥1500 MPa</w:t>
      </w:r>
      <w:r w:rsidRPr="005055C2">
        <w:rPr>
          <w:lang w:eastAsia="zh-CN"/>
        </w:rPr>
        <w:t xml:space="preserve"> </w:t>
      </w:r>
      <w:r w:rsidRPr="005055C2">
        <w:t>[1</w:t>
      </w:r>
      <w:r w:rsidRPr="005055C2">
        <w:rPr>
          <w:lang w:eastAsia="zh-CN"/>
        </w:rPr>
        <w:t>7</w:t>
      </w:r>
      <w:r w:rsidRPr="005055C2">
        <w:t>]. Resulting components exhibit fully martensitic microstructures, ideal for safety parts like door beams, B-pillar reinforcements, and floor rails—enhancing crash safety without weight penalty.</w:t>
      </w:r>
    </w:p>
    <w:p w14:paraId="595EF660" w14:textId="21EFA694" w:rsidR="005055C2" w:rsidRPr="005055C2" w:rsidRDefault="005055C2" w:rsidP="005055C2">
      <w:pPr>
        <w:pStyle w:val="1"/>
        <w:numPr>
          <w:ilvl w:val="0"/>
          <w:numId w:val="8"/>
        </w:numPr>
        <w:tabs>
          <w:tab w:val="num" w:pos="360"/>
        </w:tabs>
        <w:ind w:left="420" w:hanging="420"/>
      </w:pPr>
      <w:r w:rsidRPr="005055C2">
        <w:t>Algorithm Applications in Performance Prediction for Automotive Lightweighting</w:t>
      </w:r>
    </w:p>
    <w:p w14:paraId="2B1EA043" w14:textId="7ABE03E4" w:rsidR="005055C2" w:rsidRPr="005055C2" w:rsidRDefault="005055C2" w:rsidP="005055C2">
      <w:pPr>
        <w:pStyle w:val="2"/>
        <w:numPr>
          <w:ilvl w:val="1"/>
          <w:numId w:val="9"/>
        </w:numPr>
      </w:pPr>
      <w:r w:rsidRPr="005055C2">
        <w:t>Machine Learning Algorithms</w:t>
      </w:r>
    </w:p>
    <w:p w14:paraId="50F6E695" w14:textId="77777777" w:rsidR="005055C2" w:rsidRPr="005055C2" w:rsidRDefault="005055C2" w:rsidP="005055C2">
      <w:pPr>
        <w:pStyle w:val="TTPParagraphothers"/>
        <w:ind w:firstLine="284"/>
      </w:pPr>
      <w:r w:rsidRPr="005055C2">
        <w:t>Machine learning algorithms excel in predicting material performance. By collecting data on material composition, processing parameters, microstructure, and properties, models can be established to rapidly and accurately predict material performance. For instance, Support Vector Machines (SVM) can be used to predict the mechanical properties of aluminum alloys, while Artificial Neural Networks (ANN) can predict the performance of composite materials. These algorithms can handle complex non-linear relationships and offer higher accuracy and greater adaptability compared to traditional methods.</w:t>
      </w:r>
    </w:p>
    <w:p w14:paraId="2AF8BD78" w14:textId="77777777" w:rsidR="005055C2" w:rsidRPr="005055C2" w:rsidRDefault="005055C2" w:rsidP="005055C2">
      <w:pPr>
        <w:pStyle w:val="TTPParagraphothers"/>
        <w:ind w:firstLine="284"/>
      </w:pPr>
      <w:r w:rsidRPr="005055C2">
        <w:t>Rapid Surrogate Models utilize simpler models to replace complex computational ones for fast prediction of structural performance. In automotive lightweight design, Finite Element Analysis (FEA) is often time-consuming. Rapid surrogate models, such as Kriging models and Response Surface Models (RSM), can provide approximate predictions within a short timeframe, significantly enhancing optimization efficiency. For example, in the topology optimization of body structures, Kriging models can drastically reduce computation time. Constructing rapid surrogate models requires building, validating, and optimizing them based on FEA or experimental data.</w:t>
      </w:r>
    </w:p>
    <w:p w14:paraId="2389682E" w14:textId="66A82DCC" w:rsidR="005055C2" w:rsidRPr="005055C2" w:rsidRDefault="005055C2" w:rsidP="005055C2">
      <w:pPr>
        <w:pStyle w:val="2"/>
        <w:numPr>
          <w:ilvl w:val="1"/>
          <w:numId w:val="9"/>
        </w:numPr>
      </w:pPr>
      <w:r w:rsidRPr="005055C2">
        <w:t>Topology Optimization Algorithms</w:t>
      </w:r>
    </w:p>
    <w:p w14:paraId="696E8067" w14:textId="77777777" w:rsidR="005055C2" w:rsidRPr="005055C2" w:rsidRDefault="005055C2" w:rsidP="005055C2">
      <w:pPr>
        <w:pStyle w:val="TTPParagraphothers"/>
        <w:ind w:firstLine="284"/>
      </w:pPr>
      <w:r w:rsidRPr="005055C2">
        <w:t>The fundamental principle of topology optimization algorithms is to optimize material distribution within a given design space based on structural loading conditions and design requirements, using mathematical algorithms to obtain the optimal structural topology. In automotive lightweight design, this algorithm can determine the optimal shape and material distribution for structures like body frames and chassis, removing redundant material to minimize structural weight. For instance, in the topology optimization of a body frame, using the loads acting on the body as input and performance metrics like stiffness and strength as constraints, the algorithm calculates the optimal material distribution within the design space. This enables the body frame to achieve the lightest possible weight while meeting performance requirements. Topology optimization algorithms typically employ methods like the Solid Isotropic Material with Penalization (SIMP) method or the Level Set method to describe material distribution and iteratively optimize the structural topology through computational cycles.</w:t>
      </w:r>
    </w:p>
    <w:p w14:paraId="4F40EB80" w14:textId="68C8CF1A" w:rsidR="005055C2" w:rsidRPr="005055C2" w:rsidRDefault="005055C2" w:rsidP="005055C2">
      <w:pPr>
        <w:pStyle w:val="2"/>
        <w:numPr>
          <w:ilvl w:val="1"/>
          <w:numId w:val="9"/>
        </w:numPr>
      </w:pPr>
      <w:r w:rsidRPr="005055C2">
        <w:t>Multi-Objective Optimization Algorithms</w:t>
      </w:r>
    </w:p>
    <w:p w14:paraId="08975F8D" w14:textId="1C3C99C4" w:rsidR="005055C2" w:rsidRPr="005055C2" w:rsidRDefault="005055C2" w:rsidP="005055C2">
      <w:pPr>
        <w:pStyle w:val="3"/>
        <w:rPr>
          <w:rFonts w:eastAsiaTheme="minorEastAsia"/>
          <w:lang w:eastAsia="zh-CN"/>
        </w:rPr>
      </w:pPr>
      <w:r w:rsidRPr="005055C2">
        <w:rPr>
          <w:rFonts w:eastAsiaTheme="minorEastAsia"/>
          <w:lang w:eastAsia="zh-CN"/>
        </w:rPr>
        <w:t>3.3.1</w:t>
      </w:r>
      <w:r>
        <w:rPr>
          <w:rFonts w:eastAsiaTheme="minorEastAsia" w:hint="eastAsia"/>
          <w:lang w:eastAsia="zh-CN"/>
        </w:rPr>
        <w:t>.</w:t>
      </w:r>
      <w:r w:rsidRPr="005055C2">
        <w:rPr>
          <w:rFonts w:eastAsiaTheme="minorEastAsia"/>
          <w:lang w:eastAsia="zh-CN"/>
        </w:rPr>
        <w:t xml:space="preserve"> Trade-offs Between Stiffness, Weight, and Safety</w:t>
      </w:r>
    </w:p>
    <w:p w14:paraId="323953BA" w14:textId="77777777" w:rsidR="005055C2" w:rsidRPr="005055C2" w:rsidRDefault="005055C2" w:rsidP="005055C2">
      <w:pPr>
        <w:pStyle w:val="TTPParagraphothers"/>
        <w:ind w:firstLine="284"/>
      </w:pPr>
      <w:r w:rsidRPr="005055C2">
        <w:t>Multi-objective optimization algorithms are employed in automotive lightweight design to balance the competing demands of stiffness, weight, and safety. A vehicle requires sufficient stiffness to ensure driving stability and comfort, while simultaneously needing weight reduction to improve fuel economy and meet stringent safety standards</w:t>
      </w:r>
      <w:r w:rsidRPr="005055C2">
        <w:rPr>
          <w:lang w:eastAsia="zh-CN"/>
        </w:rPr>
        <w:t xml:space="preserve"> </w:t>
      </w:r>
      <w:r w:rsidRPr="005055C2">
        <w:t>[1</w:t>
      </w:r>
      <w:r w:rsidRPr="005055C2">
        <w:rPr>
          <w:lang w:eastAsia="zh-CN"/>
        </w:rPr>
        <w:t>8</w:t>
      </w:r>
      <w:r w:rsidRPr="005055C2">
        <w:t>]. Multi-objective optimization algorithms (such as the Non-dominated Sorting Genetic Algorithm II (NSGA-II), and Multi-Objective Particle Swarm Optimization (MOPSO)) can find a set of optimal solutions, known as the Pareto optimal set, under given constraints. Each solution represents a different balance point, allowing designers to select the most suitable design based on practical requirements.</w:t>
      </w:r>
    </w:p>
    <w:p w14:paraId="5C4DE68D" w14:textId="757B74CC" w:rsidR="005055C2" w:rsidRPr="005055C2" w:rsidRDefault="005055C2" w:rsidP="005055C2">
      <w:pPr>
        <w:pStyle w:val="3"/>
        <w:rPr>
          <w:rFonts w:eastAsiaTheme="minorEastAsia"/>
          <w:lang w:eastAsia="zh-CN"/>
        </w:rPr>
      </w:pPr>
      <w:r w:rsidRPr="005055C2">
        <w:rPr>
          <w:rFonts w:eastAsiaTheme="minorEastAsia"/>
          <w:lang w:eastAsia="zh-CN"/>
        </w:rPr>
        <w:lastRenderedPageBreak/>
        <w:t>3.3.2</w:t>
      </w:r>
      <w:r>
        <w:rPr>
          <w:rFonts w:eastAsiaTheme="minorEastAsia" w:hint="eastAsia"/>
          <w:lang w:eastAsia="zh-CN"/>
        </w:rPr>
        <w:t>.</w:t>
      </w:r>
      <w:r w:rsidRPr="005055C2">
        <w:rPr>
          <w:rFonts w:eastAsiaTheme="minorEastAsia"/>
          <w:lang w:eastAsia="zh-CN"/>
        </w:rPr>
        <w:t xml:space="preserve"> Algorithm Implementation Process</w:t>
      </w:r>
    </w:p>
    <w:p w14:paraId="3392A336" w14:textId="77777777" w:rsidR="005055C2" w:rsidRPr="005055C2" w:rsidRDefault="005055C2" w:rsidP="005055C2">
      <w:pPr>
        <w:pStyle w:val="TTPParagraphothers"/>
        <w:ind w:firstLine="284"/>
      </w:pPr>
      <w:r w:rsidRPr="005055C2">
        <w:t>Taking the NSGA-II algorithm as an example, its implementation process for multi-objective optimization in automotive lightweighting is as follows: First, an initial population is randomly generated, where each individual represents a potential body structure design scheme, containing information such as geometric parameters and material distribution. Each individual is then evaluated using FEA to compute objective function values like stiffness, weight, and safety performance. Next, the population is ranked and sorted based on non-dominated sorting and crowding distance calculations, selecting superior individuals to proceed to the next generation. New populations are generated through genetic operations like crossover and mutation. This process is repeated over multiple generations, gradually converging towards the Pareto optimal set. In practical applications, algorithm parameters (such as population size, crossover probability, mutation probability) need to be set appropriately to ensure convergence and optimization effectiveness.</w:t>
      </w:r>
    </w:p>
    <w:p w14:paraId="1B8C2F5A" w14:textId="1595767F" w:rsidR="005055C2" w:rsidRPr="005055C2" w:rsidRDefault="005055C2" w:rsidP="005055C2">
      <w:pPr>
        <w:pStyle w:val="1"/>
        <w:numPr>
          <w:ilvl w:val="0"/>
          <w:numId w:val="8"/>
        </w:numPr>
        <w:tabs>
          <w:tab w:val="num" w:pos="360"/>
        </w:tabs>
        <w:ind w:left="420" w:hanging="420"/>
      </w:pPr>
      <w:r w:rsidRPr="005055C2">
        <w:t>Comprehensive Performance Evaluation and Case Analysis</w:t>
      </w:r>
    </w:p>
    <w:p w14:paraId="6C015647" w14:textId="30DB5140" w:rsidR="005055C2" w:rsidRPr="005055C2" w:rsidRDefault="005055C2" w:rsidP="005055C2">
      <w:pPr>
        <w:pStyle w:val="2"/>
        <w:numPr>
          <w:ilvl w:val="1"/>
          <w:numId w:val="9"/>
        </w:numPr>
      </w:pPr>
      <w:r w:rsidRPr="005055C2">
        <w:t>Summary of Typical Cases</w:t>
      </w:r>
    </w:p>
    <w:p w14:paraId="0A57BFAF" w14:textId="6A8C7527" w:rsidR="005055C2" w:rsidRPr="005055C2" w:rsidRDefault="005055C2" w:rsidP="005055C2">
      <w:pPr>
        <w:pStyle w:val="3"/>
        <w:rPr>
          <w:rFonts w:eastAsiaTheme="minorEastAsia"/>
          <w:lang w:eastAsia="zh-CN"/>
        </w:rPr>
      </w:pPr>
      <w:r w:rsidRPr="005055C2">
        <w:rPr>
          <w:rFonts w:eastAsiaTheme="minorEastAsia"/>
          <w:lang w:eastAsia="zh-CN"/>
        </w:rPr>
        <w:t>4.1.1</w:t>
      </w:r>
      <w:r>
        <w:rPr>
          <w:rFonts w:eastAsiaTheme="minorEastAsia" w:hint="eastAsia"/>
          <w:lang w:eastAsia="zh-CN"/>
        </w:rPr>
        <w:t>.</w:t>
      </w:r>
      <w:r w:rsidRPr="005055C2">
        <w:rPr>
          <w:rFonts w:eastAsiaTheme="minorEastAsia"/>
          <w:lang w:eastAsia="zh-CN"/>
        </w:rPr>
        <w:t xml:space="preserve"> Integrated Die-Casting and Algorithm Application in Tesla Model Series</w:t>
      </w:r>
    </w:p>
    <w:p w14:paraId="6361409D" w14:textId="77777777" w:rsidR="005055C2" w:rsidRPr="005055C2" w:rsidRDefault="005055C2" w:rsidP="005055C2">
      <w:pPr>
        <w:pStyle w:val="TTPParagraphothers"/>
        <w:ind w:firstLine="284"/>
      </w:pPr>
      <w:r w:rsidRPr="005055C2">
        <w:t xml:space="preserve">Tesla extensively employs integrated die-casting technology and advanced algorithms for lightweight design in its </w:t>
      </w:r>
      <w:proofErr w:type="gramStart"/>
      <w:r w:rsidRPr="005055C2">
        <w:t>Model</w:t>
      </w:r>
      <w:proofErr w:type="gramEnd"/>
      <w:r w:rsidRPr="005055C2">
        <w:t xml:space="preserve"> series vehicles. Taking the Model Y as an example, its rear underbody utilizes an integrated die-cast aluminum alloy component. Topology optimization algorithms were applied to design the die-cast structure, achieving significant weight reduction while ensuring structural strength and stiffness. Tesla combined FEA with machine learning algorithms to accurately predict the performance of aluminum alloy components under various operating conditions, providing precise boundary conditions for topology optimization. Multi-objective optimization algorithms were used to balance the weight, stiffness, and crash safety of the body structure. For instance, the energy absorption characteristics of the structure were optimized to protect occupants while ensuring body stiffness met handling and comfort requirements. This design approach not only reduces the number of parts and assembly costs but also improves production efficiency. It aligns with the multi-objective requirements of lightweight design regarding cost control and sustainability, providing innovative ideas and a successful paradigm for electric vehicle lightweighting.</w:t>
      </w:r>
    </w:p>
    <w:p w14:paraId="24F8AF0A" w14:textId="488D29E1" w:rsidR="005055C2" w:rsidRPr="005055C2" w:rsidRDefault="005055C2" w:rsidP="005055C2">
      <w:pPr>
        <w:pStyle w:val="3"/>
        <w:rPr>
          <w:rFonts w:eastAsiaTheme="minorEastAsia"/>
          <w:lang w:eastAsia="zh-CN"/>
        </w:rPr>
      </w:pPr>
      <w:r w:rsidRPr="005055C2">
        <w:rPr>
          <w:rFonts w:eastAsiaTheme="minorEastAsia"/>
          <w:lang w:eastAsia="zh-CN"/>
        </w:rPr>
        <w:t>4.1.2</w:t>
      </w:r>
      <w:r>
        <w:rPr>
          <w:rFonts w:eastAsiaTheme="minorEastAsia" w:hint="eastAsia"/>
          <w:lang w:eastAsia="zh-CN"/>
        </w:rPr>
        <w:t>.</w:t>
      </w:r>
      <w:r w:rsidRPr="005055C2">
        <w:rPr>
          <w:rFonts w:eastAsiaTheme="minorEastAsia"/>
          <w:lang w:eastAsia="zh-CN"/>
        </w:rPr>
        <w:t xml:space="preserve"> Synergistic Carbon Fiber Composite Structure and Algorithm Application in BMW i Series</w:t>
      </w:r>
    </w:p>
    <w:p w14:paraId="735FCA9A" w14:textId="77777777" w:rsidR="005055C2" w:rsidRDefault="005055C2" w:rsidP="005055C2">
      <w:pPr>
        <w:pStyle w:val="TTPParagraphothers"/>
        <w:ind w:firstLine="284"/>
      </w:pPr>
      <w:r w:rsidRPr="005055C2">
        <w:t xml:space="preserve">The BMW </w:t>
      </w:r>
      <w:proofErr w:type="spellStart"/>
      <w:r w:rsidRPr="005055C2">
        <w:t>i</w:t>
      </w:r>
      <w:proofErr w:type="spellEnd"/>
      <w:r w:rsidRPr="005055C2">
        <w:t xml:space="preserve"> series (i3 and i8) makes extensive use of carbon fiber reinforced polymers (CFRP) and employs algorithms to optimize the synergistic design of materials and structures. In body frame design, BMW applied topology optimization algorithms to determine the optimal material distribution based on material properties and load conditions, minimizing waste and reducing costs. Although CFRP offers high strength and low density, its high cost makes precise material usage planning crucial. BMW also utilized machine learning algorithms to build performance prediction models. These models comprehensively consider factors such as carbon fiber type, content, layup orientation, and manufacturing processes to accurately predict the strength, stiffness, and fatigue life of the body structure under different conditions. In multi-objective optimization, BMW balanced lightweighting, safety, and comfort: algorithms optimized crash safety design, enabling the body to absorb energy effectively and meet safety standards; simultaneously, body stiffness was ensured to reduce vibration and noise transmission. This synergistic application of algorithms and CFRP has yielded significant results for BMW in the lightweighting of high-end electric vehicles, highlighting the critical role of algorithms in designing complex material structures.</w:t>
      </w:r>
    </w:p>
    <w:p w14:paraId="1A99EBB7" w14:textId="77777777" w:rsidR="0075609D" w:rsidRDefault="0075609D" w:rsidP="005055C2">
      <w:pPr>
        <w:pStyle w:val="TTPParagraphothers"/>
        <w:ind w:firstLine="284"/>
        <w:rPr>
          <w:lang w:eastAsia="zh-CN"/>
        </w:rPr>
      </w:pPr>
    </w:p>
    <w:p w14:paraId="4877E603" w14:textId="77777777" w:rsidR="0075609D" w:rsidRDefault="0075609D" w:rsidP="005055C2">
      <w:pPr>
        <w:pStyle w:val="TTPParagraphothers"/>
        <w:ind w:firstLine="284"/>
        <w:rPr>
          <w:lang w:eastAsia="zh-CN"/>
        </w:rPr>
      </w:pPr>
    </w:p>
    <w:p w14:paraId="6C0B1BF8" w14:textId="77777777" w:rsidR="0075609D" w:rsidRPr="005055C2" w:rsidRDefault="0075609D" w:rsidP="005055C2">
      <w:pPr>
        <w:pStyle w:val="TTPParagraphothers"/>
        <w:ind w:firstLine="284"/>
        <w:rPr>
          <w:lang w:eastAsia="zh-CN"/>
        </w:rPr>
      </w:pPr>
    </w:p>
    <w:p w14:paraId="3CEC6A16" w14:textId="1A0E478B" w:rsidR="005055C2" w:rsidRPr="005055C2" w:rsidRDefault="005055C2" w:rsidP="005055C2">
      <w:pPr>
        <w:pStyle w:val="2"/>
        <w:numPr>
          <w:ilvl w:val="1"/>
          <w:numId w:val="9"/>
        </w:numPr>
      </w:pPr>
      <w:r w:rsidRPr="005055C2">
        <w:lastRenderedPageBreak/>
        <w:t>Comparative Analysis of Lightweight Design Differences Among Manufacturers</w:t>
      </w:r>
    </w:p>
    <w:p w14:paraId="54AE9672" w14:textId="77777777" w:rsidR="005055C2" w:rsidRDefault="005055C2" w:rsidP="005055C2">
      <w:pPr>
        <w:pStyle w:val="TTPParagraphothers"/>
        <w:ind w:firstLine="284"/>
      </w:pPr>
      <w:r w:rsidRPr="005055C2">
        <w:t>Different automotive manufacturers exhibit variations in their lightweight design approaches. Traditional manufacturers leverage accumulated technology and process expertise, showing maturity in the application of high-strength steel and aluminum alloys, as well as traditional structural optimization techniques. For example, Volkswagen achieves lightweighting through optimized use of high-strength steel. Emerging electric vehicle manufacturers like Tesla and NIO place greater emphasis on advanced materials and innovative algorithmic technologies. Tesla leads in aluminum die-casting and algorithm application, while NIO actively explores CFRP and multi-material hybrid structural design.</w:t>
      </w:r>
    </w:p>
    <w:p w14:paraId="48CE860E" w14:textId="77777777" w:rsidR="005055C2" w:rsidRPr="005055C2" w:rsidRDefault="005055C2" w:rsidP="005055C2">
      <w:pPr>
        <w:pStyle w:val="TTPParagraphothers"/>
        <w:ind w:firstLine="284"/>
      </w:pPr>
      <w:r w:rsidRPr="005055C2">
        <w:t>These differences stem from manufacturers' varying R&amp;D directions, market positioning, and cost-control strategies. Traditional manufacturers tend to improve existing technologies to reduce costs and risks, whereas new entrants are more willing to adopt novel technologies to create differentiated advantages. Furthermore, disparities in data accumulation and algorithm development capabilities among manufacturers also influence the level and effectiveness of algorithm application in lightweight design.</w:t>
      </w:r>
    </w:p>
    <w:p w14:paraId="35F99D7B" w14:textId="50AFA790" w:rsidR="005055C2" w:rsidRPr="005055C2" w:rsidRDefault="005055C2" w:rsidP="005055C2">
      <w:pPr>
        <w:pStyle w:val="1"/>
        <w:numPr>
          <w:ilvl w:val="0"/>
          <w:numId w:val="8"/>
        </w:numPr>
        <w:tabs>
          <w:tab w:val="num" w:pos="360"/>
        </w:tabs>
        <w:ind w:left="420" w:hanging="420"/>
      </w:pPr>
      <w:r w:rsidRPr="005055C2">
        <w:t>Conclusion</w:t>
      </w:r>
    </w:p>
    <w:p w14:paraId="441B3BB8" w14:textId="77777777" w:rsidR="005055C2" w:rsidRDefault="005055C2" w:rsidP="005055C2">
      <w:pPr>
        <w:pStyle w:val="TTPParagraphothers"/>
        <w:ind w:firstLine="284"/>
      </w:pPr>
      <w:r w:rsidRPr="005055C2">
        <w:t>This paper comprehensively reviews lightweight automotive material/structure design and performance prediction based on fundamental algorithms. Automotive lightweighting holds significant importance for achieving energy savings, emission reduction, and performance enhancement. In material and structural design, lightweight materials such as aluminum alloys, magnesium alloys, and composites each offer distinct advantages. Synergistic design approaches like topology optimization, lattice structure design, and FGMs, coupled with strategies such as multi-material hybrid structures and hot-formed structural components, provide effective pathways for lightweighting. Regarding algorithm applications, machine learning algorithms are useful for material performance prediction and building fast surrogate models; topology optimization algorithms aid lightweight structural design; and multi-objective optimization algorithms effectively balance stiffness, weight, and safety. Different algorithms possess their own strengths, weaknesses, and applicable scopes. Through the analysis of typical cases, it is observed that manufacturers differ in their lightweight design implementations. The integrated application of materials, structural design, and algorithmic technologies enables the optimal combination of vehicle lightweighting and performance. This review systematically examines the application of lightweight materials (aluminum alloys, magnesium alloys, carbon fiber composites), advanced structural design methods (topology optimization, lattice structures, functionally graded materials), and core algorithms (including machine learning, topology optimization, and multi-objective optimization) in automotive lightweighting. It concludes that the critical factor for achieving efficient vehicle lightweighting lies in the synergistic design and deep integration of materials, structures, and algorithms. Case studies from Tesla's integrated die-casting and BMW's carbon fiber body structures demonstrate the significant potential of this integrated innovation model in weight reduction, performance enhancement, and cost control. Although strategies vary among manufacturers due to differing technological heritage and market focus, collaborative optimization integrating multidisciplinary technologies remains the central development direction. Looking ahead, with continuous advancements in material processes, intelligent algorithms, and digital manufacturing technologies, automotive lightweighting is poised to overcome current limitations. This progress will not only provide core solutions for developing more energy-efficient, safer, and higher-performance vehicles but will also profoundly propel the automotive industry's transition towards green and low-carbon practices, making substantial contributions to global energy sustainability and the achievement of carbon neutrality goals.</w:t>
      </w:r>
    </w:p>
    <w:p w14:paraId="183AECB5" w14:textId="77777777" w:rsidR="0075609D" w:rsidRDefault="0075609D" w:rsidP="005055C2">
      <w:pPr>
        <w:pStyle w:val="TTPParagraphothers"/>
        <w:ind w:firstLine="284"/>
        <w:rPr>
          <w:lang w:eastAsia="zh-CN"/>
        </w:rPr>
      </w:pPr>
    </w:p>
    <w:p w14:paraId="7B5353A2" w14:textId="77777777" w:rsidR="0075609D" w:rsidRPr="005055C2" w:rsidRDefault="0075609D" w:rsidP="005055C2">
      <w:pPr>
        <w:pStyle w:val="TTPParagraphothers"/>
        <w:ind w:firstLine="284"/>
        <w:rPr>
          <w:lang w:eastAsia="zh-CN"/>
        </w:rPr>
      </w:pPr>
    </w:p>
    <w:p w14:paraId="63CED8FC" w14:textId="77777777" w:rsidR="005055C2" w:rsidRPr="005055C2" w:rsidRDefault="005055C2" w:rsidP="005055C2">
      <w:pPr>
        <w:pStyle w:val="1"/>
      </w:pPr>
      <w:r w:rsidRPr="005055C2">
        <w:lastRenderedPageBreak/>
        <w:t>References</w:t>
      </w:r>
    </w:p>
    <w:p w14:paraId="11671EE8" w14:textId="77777777" w:rsidR="005055C2" w:rsidRPr="005055C2" w:rsidRDefault="005055C2" w:rsidP="005055C2">
      <w:pPr>
        <w:pStyle w:val="Reference"/>
        <w:numPr>
          <w:ilvl w:val="0"/>
          <w:numId w:val="2"/>
        </w:numPr>
        <w:tabs>
          <w:tab w:val="left" w:pos="426"/>
        </w:tabs>
        <w:spacing w:after="60"/>
        <w:rPr>
          <w:sz w:val="22"/>
          <w:szCs w:val="22"/>
          <w:lang w:val="de-DE"/>
        </w:rPr>
      </w:pPr>
      <w:bookmarkStart w:id="3" w:name="_Ref32444"/>
      <w:bookmarkStart w:id="4" w:name="_Ref6650"/>
      <w:r w:rsidRPr="005055C2">
        <w:rPr>
          <w:sz w:val="22"/>
          <w:szCs w:val="22"/>
          <w:lang w:val="de-DE"/>
        </w:rPr>
        <w:t xml:space="preserve">Gupta MK, Singhal V. Review on materials for making lightweight vehicles. Materials Today </w:t>
      </w:r>
      <w:r w:rsidRPr="005055C2">
        <w:rPr>
          <w:sz w:val="22"/>
          <w:szCs w:val="22"/>
        </w:rPr>
        <w:t>Proceedings</w:t>
      </w:r>
      <w:r w:rsidRPr="005055C2">
        <w:rPr>
          <w:sz w:val="22"/>
          <w:szCs w:val="22"/>
          <w:lang w:val="de-DE"/>
        </w:rPr>
        <w:t xml:space="preserve"> 2022 Jan 1;56:868–72. </w:t>
      </w:r>
    </w:p>
    <w:p w14:paraId="3C195836"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Kim D, Ji Y, Lee J, Yoo J, Min S, Jang IG. A MATLAB code of node-based topology optimization in 3D arbitrary domain for additive manufacturing. Structural and Multidisciplinary Optimization. 2022 Oct 20;65(11).</w:t>
      </w:r>
    </w:p>
    <w:p w14:paraId="3359F6B8"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 xml:space="preserve">Koç Ç, Yayla P. Single- and Multi-material-Based design of lightweight vehicle body. </w:t>
      </w:r>
      <w:r w:rsidRPr="005055C2">
        <w:rPr>
          <w:sz w:val="22"/>
          <w:szCs w:val="22"/>
        </w:rPr>
        <w:t>International</w:t>
      </w:r>
      <w:r w:rsidRPr="005055C2">
        <w:rPr>
          <w:sz w:val="22"/>
          <w:szCs w:val="22"/>
          <w:lang w:val="de-DE"/>
        </w:rPr>
        <w:t xml:space="preserve"> Journal of Automotive Technology. 2024 Jun 26.</w:t>
      </w:r>
    </w:p>
    <w:p w14:paraId="1D5AC84A"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 xml:space="preserve">Lian F, Wang D, Zhang Z, Chen H, Xu W. Multi-objective optimization of lightweight and crashworthiness of automotive front-end structures based on stacked regression surrogate. Engineering Applications of Artificial Intelligence. 2025 May 16;155:111138. </w:t>
      </w:r>
    </w:p>
    <w:p w14:paraId="3EC27163"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BMW. https://www.bmw.com.cn/zh/index.html</w:t>
      </w:r>
    </w:p>
    <w:p w14:paraId="4484A6C6"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Liu K, Liao Y, Tong X, Zhang L, Zhou J. Multi-parameter similarity model-based lightweight design of battery electric vehicle body-in-white. Proceedings of the Institution of Mechanical Engineers Part D Journal of Automobile Engineering. 2024 Jun 18.</w:t>
      </w:r>
    </w:p>
    <w:p w14:paraId="2FFEE288"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 xml:space="preserve">Sigmund O. A 99 line topology optimization code written in Matlab. Structural and </w:t>
      </w:r>
      <w:r w:rsidRPr="005055C2">
        <w:rPr>
          <w:sz w:val="22"/>
          <w:szCs w:val="22"/>
        </w:rPr>
        <w:t>Multidisciplinary</w:t>
      </w:r>
      <w:r w:rsidRPr="005055C2">
        <w:rPr>
          <w:sz w:val="22"/>
          <w:szCs w:val="22"/>
          <w:lang w:val="de-DE"/>
        </w:rPr>
        <w:t xml:space="preserve"> Optimization. 2001 Apr 1;21(2):120–7. </w:t>
      </w:r>
    </w:p>
    <w:p w14:paraId="604544C2"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 xml:space="preserve">Wang T, Dong R, Zhang S, Qin D. Research on Lightweight design of automobile collision Safety </w:t>
      </w:r>
      <w:r w:rsidRPr="005055C2">
        <w:rPr>
          <w:sz w:val="22"/>
          <w:szCs w:val="22"/>
        </w:rPr>
        <w:t>Structure</w:t>
      </w:r>
      <w:r w:rsidRPr="005055C2">
        <w:rPr>
          <w:sz w:val="22"/>
          <w:szCs w:val="22"/>
          <w:lang w:val="de-DE"/>
        </w:rPr>
        <w:t xml:space="preserve"> based on multiple materials. Journal of Physics Conference Series. 2020 Nov 1;1670(1):012004.</w:t>
      </w:r>
    </w:p>
    <w:p w14:paraId="5C6BC002"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 xml:space="preserve">Yang S, Qi C, Hu P, Wei ZY, Wang YL. Topology Optimization of electric vehicle body in white based on SIMP method. Advanced Materials Research. 2011 Aug 16;308–310:606–9. </w:t>
      </w:r>
    </w:p>
    <w:p w14:paraId="2CB1FE65"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 xml:space="preserve">Zhang G, Li X, Li J, Zhou X, Zhou Y. Optimization design of battery bracket for new energy vehicles </w:t>
      </w:r>
      <w:r w:rsidRPr="005055C2">
        <w:rPr>
          <w:sz w:val="22"/>
          <w:szCs w:val="22"/>
        </w:rPr>
        <w:t>based</w:t>
      </w:r>
      <w:r w:rsidRPr="005055C2">
        <w:rPr>
          <w:sz w:val="22"/>
          <w:szCs w:val="22"/>
          <w:lang w:val="de-DE"/>
        </w:rPr>
        <w:t xml:space="preserve"> on 3D printing technology. Scientific Reports. 2024 Jun 12;14(1). </w:t>
      </w:r>
    </w:p>
    <w:p w14:paraId="43793139"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 xml:space="preserve">Zhang H, Sun Z, Zhi P, Wang W, Wang Z. Material-Structure integrated design and optimization of a Carbon-Fiber-Reinforced composite car door. Applied Sciences. 2024 Jan 22;14(2):930. </w:t>
      </w:r>
    </w:p>
    <w:p w14:paraId="1B622AF4"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rPr>
        <w:t>Topology</w:t>
      </w:r>
      <w:r w:rsidRPr="005055C2">
        <w:rPr>
          <w:sz w:val="22"/>
          <w:szCs w:val="22"/>
          <w:lang w:val="de-DE"/>
        </w:rPr>
        <w:t xml:space="preserve"> Optimization: Theory, Methods and Applications. 2004.</w:t>
      </w:r>
    </w:p>
    <w:p w14:paraId="2016A4EA"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rPr>
        <w:t>Wang</w:t>
      </w:r>
      <w:r w:rsidRPr="005055C2">
        <w:rPr>
          <w:sz w:val="22"/>
          <w:szCs w:val="22"/>
          <w:lang w:val="de-DE"/>
        </w:rPr>
        <w:t xml:space="preserve"> Yan, Qu Dong, Liu Shifeng, et al. Research status and application of additive manufacturing metal lattice interlayer structure. Chinese Journal of Nonferrous Metals,2024,34(4):1022-1051.</w:t>
      </w:r>
    </w:p>
    <w:p w14:paraId="1FC1696B"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 xml:space="preserve">Zhang Zhenjie, Long Yuhong, Xu Rongwei, et al. Research progress and prospect of metamaterials for additive manufacturing molding machinery. Machine Tool and Hydraulics,2022,50(14):151-158. </w:t>
      </w:r>
    </w:p>
    <w:p w14:paraId="59F6017D"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https://image.baidu.com/</w:t>
      </w:r>
    </w:p>
    <w:p w14:paraId="4DA40D86"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 xml:space="preserve">Lu </w:t>
      </w:r>
      <w:r w:rsidRPr="005055C2">
        <w:rPr>
          <w:sz w:val="22"/>
          <w:szCs w:val="22"/>
        </w:rPr>
        <w:t>Tiantong</w:t>
      </w:r>
      <w:r w:rsidRPr="005055C2">
        <w:rPr>
          <w:sz w:val="22"/>
          <w:szCs w:val="22"/>
          <w:lang w:val="de-DE"/>
        </w:rPr>
        <w:t>, Wang Dengfeng, Wang Chuanqing. Multi-objective optimization of lightweight closed body-in-white based on analysis-driven design. Automotive Engineering,2018,40(8):912-917.</w:t>
      </w:r>
    </w:p>
    <w:p w14:paraId="29A7A3D9"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Yin Zhi'an. Analysis of Materials and Matching Optimization Design of Safety Components of Automobile Body Structure. Corporate Culture, 2016(4):250.</w:t>
      </w:r>
    </w:p>
    <w:p w14:paraId="1F459154" w14:textId="77777777" w:rsidR="005055C2" w:rsidRPr="005055C2" w:rsidRDefault="005055C2" w:rsidP="005055C2">
      <w:pPr>
        <w:pStyle w:val="Reference"/>
        <w:numPr>
          <w:ilvl w:val="0"/>
          <w:numId w:val="2"/>
        </w:numPr>
        <w:tabs>
          <w:tab w:val="left" w:pos="426"/>
        </w:tabs>
        <w:spacing w:after="60"/>
        <w:rPr>
          <w:sz w:val="22"/>
          <w:szCs w:val="22"/>
          <w:lang w:val="de-DE"/>
        </w:rPr>
      </w:pPr>
      <w:r w:rsidRPr="005055C2">
        <w:rPr>
          <w:sz w:val="22"/>
          <w:szCs w:val="22"/>
          <w:lang w:val="de-DE"/>
        </w:rPr>
        <w:t>Wu Wenkai, Zhu Mingqing, Wang Yunlong, et al. Research on hot stamping forming technology and application status of automobile lightweight. Heilongjiang Science,2019,10(18):4-7.</w:t>
      </w:r>
      <w:bookmarkEnd w:id="3"/>
      <w:bookmarkEnd w:id="4"/>
    </w:p>
    <w:p w14:paraId="1419060B" w14:textId="77777777" w:rsidR="00896DB4" w:rsidRPr="005055C2" w:rsidRDefault="00896DB4" w:rsidP="005055C2">
      <w:pPr>
        <w:ind w:firstLine="284"/>
        <w:jc w:val="both"/>
        <w:rPr>
          <w:sz w:val="22"/>
          <w:szCs w:val="22"/>
          <w:lang w:eastAsia="zh-CN"/>
        </w:rPr>
      </w:pPr>
    </w:p>
    <w:sectPr w:rsidR="00896DB4" w:rsidRPr="005055C2" w:rsidSect="00E16BCC">
      <w:headerReference w:type="even" r:id="rId11"/>
      <w:headerReference w:type="default" r:id="rId12"/>
      <w:footerReference w:type="even" r:id="rId13"/>
      <w:footerReference w:type="default" r:id="rId14"/>
      <w:headerReference w:type="first" r:id="rId15"/>
      <w:footerReference w:type="first" r:id="rId16"/>
      <w:pgSz w:w="11907" w:h="16840" w:code="9"/>
      <w:pgMar w:top="1701" w:right="1134" w:bottom="851" w:left="1134" w:header="850" w:footer="425" w:gutter="0"/>
      <w:pgNumType w:start="126"/>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87E16" w14:textId="77777777" w:rsidR="00701EA4" w:rsidRDefault="00701EA4" w:rsidP="0007556F">
      <w:r>
        <w:separator/>
      </w:r>
    </w:p>
  </w:endnote>
  <w:endnote w:type="continuationSeparator" w:id="0">
    <w:p w14:paraId="5C3E33E7" w14:textId="77777777" w:rsidR="00701EA4" w:rsidRDefault="00701EA4" w:rsidP="0007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5D2F" w14:textId="77777777" w:rsidR="00E16BCC" w:rsidRDefault="00E16B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617587"/>
      <w:docPartObj>
        <w:docPartGallery w:val="Page Numbers (Bottom of Page)"/>
        <w:docPartUnique/>
      </w:docPartObj>
    </w:sdtPr>
    <w:sdtContent>
      <w:p w14:paraId="6E4FB629" w14:textId="745878A9" w:rsidR="00327641" w:rsidRPr="00327641" w:rsidRDefault="00327641" w:rsidP="00327641">
        <w:pPr>
          <w:pStyle w:val="a5"/>
          <w:jc w:val="center"/>
        </w:pPr>
        <w:r>
          <w:fldChar w:fldCharType="begin"/>
        </w:r>
        <w:r>
          <w:instrText>PAGE   \* MERGEFORMAT</w:instrText>
        </w:r>
        <w:r>
          <w:fldChar w:fldCharType="separate"/>
        </w:r>
        <w:r>
          <w:rPr>
            <w:lang w:val="zh-CN" w:eastAsia="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2D0A" w14:textId="77777777" w:rsidR="00E16BCC" w:rsidRDefault="00E16B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20047" w14:textId="77777777" w:rsidR="00701EA4" w:rsidRDefault="00701EA4" w:rsidP="0007556F">
      <w:r>
        <w:separator/>
      </w:r>
    </w:p>
  </w:footnote>
  <w:footnote w:type="continuationSeparator" w:id="0">
    <w:p w14:paraId="2A7D4136" w14:textId="77777777" w:rsidR="00701EA4" w:rsidRDefault="00701EA4" w:rsidP="00075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7440" w14:textId="77777777" w:rsidR="00C24715" w:rsidRDefault="00C24715">
    <w:pPr>
      <w:pStyle w:val="a3"/>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B748" w14:textId="77777777" w:rsidR="00E16BCC" w:rsidRDefault="00E16BC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E722" w14:textId="77777777" w:rsidR="00E16BCC" w:rsidRDefault="00E16BC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4ED3"/>
    <w:multiLevelType w:val="singleLevel"/>
    <w:tmpl w:val="01074ED3"/>
    <w:lvl w:ilvl="0">
      <w:start w:val="1"/>
      <w:numFmt w:val="decimal"/>
      <w:lvlText w:val="[%1]"/>
      <w:lvlJc w:val="left"/>
      <w:pPr>
        <w:tabs>
          <w:tab w:val="left" w:pos="420"/>
        </w:tabs>
        <w:ind w:left="425" w:hanging="425"/>
      </w:pPr>
      <w:rPr>
        <w:rFonts w:hint="default"/>
      </w:rPr>
    </w:lvl>
  </w:abstractNum>
  <w:abstractNum w:abstractNumId="1" w15:restartNumberingAfterBreak="0">
    <w:nsid w:val="10640653"/>
    <w:multiLevelType w:val="hybridMultilevel"/>
    <w:tmpl w:val="C52CAF28"/>
    <w:lvl w:ilvl="0" w:tplc="08EED570">
      <w:start w:val="1"/>
      <w:numFmt w:val="decimal"/>
      <w:lvlText w:val="2.%1."/>
      <w:lvlJc w:val="left"/>
      <w:pPr>
        <w:ind w:left="420" w:hanging="42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D31BD4"/>
    <w:multiLevelType w:val="hybridMultilevel"/>
    <w:tmpl w:val="BE30C858"/>
    <w:lvl w:ilvl="0" w:tplc="399EB1F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12A3364"/>
    <w:multiLevelType w:val="multilevel"/>
    <w:tmpl w:val="AFC0F824"/>
    <w:lvl w:ilvl="0">
      <w:start w:val="1"/>
      <w:numFmt w:val="decimal"/>
      <w:lvlText w:val="%1."/>
      <w:lvlJc w:val="left"/>
      <w:pPr>
        <w:ind w:left="420" w:hanging="42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4CFD3A7D"/>
    <w:multiLevelType w:val="hybridMultilevel"/>
    <w:tmpl w:val="1A96362E"/>
    <w:lvl w:ilvl="0" w:tplc="D0B0865A">
      <w:start w:val="1"/>
      <w:numFmt w:val="decimal"/>
      <w:pStyle w:val="References"/>
      <w:lvlText w:val="[%1]"/>
      <w:lvlJc w:val="left"/>
      <w:pPr>
        <w:tabs>
          <w:tab w:val="num" w:pos="454"/>
        </w:tabs>
        <w:ind w:left="454" w:hanging="454"/>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24F699A"/>
    <w:multiLevelType w:val="hybridMultilevel"/>
    <w:tmpl w:val="F288042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2CA544A"/>
    <w:multiLevelType w:val="singleLevel"/>
    <w:tmpl w:val="1C6E12FA"/>
    <w:lvl w:ilvl="0">
      <w:start w:val="1"/>
      <w:numFmt w:val="decimal"/>
      <w:pStyle w:val="references0"/>
      <w:suff w:val="space"/>
      <w:lvlText w:val="[%1]"/>
      <w:lvlJc w:val="left"/>
      <w:pPr>
        <w:ind w:left="360" w:hanging="360"/>
      </w:pPr>
      <w:rPr>
        <w:rFonts w:ascii="Times New Roman" w:hAnsi="Times New Roman" w:cs="Times New Roman" w:hint="default"/>
        <w:b w:val="0"/>
        <w:bCs w:val="0"/>
        <w:i w:val="0"/>
        <w:iCs w:val="0"/>
        <w:sz w:val="24"/>
        <w:szCs w:val="16"/>
      </w:rPr>
    </w:lvl>
  </w:abstractNum>
  <w:abstractNum w:abstractNumId="7" w15:restartNumberingAfterBreak="0">
    <w:nsid w:val="5B1862F5"/>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5DFD06AB"/>
    <w:multiLevelType w:val="multilevel"/>
    <w:tmpl w:val="E18081C8"/>
    <w:lvl w:ilvl="0">
      <w:start w:val="1"/>
      <w:numFmt w:val="decimal"/>
      <w:lvlText w:val="%1."/>
      <w:lvlJc w:val="left"/>
      <w:pPr>
        <w:ind w:left="420" w:hanging="42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998575322">
    <w:abstractNumId w:val="3"/>
  </w:num>
  <w:num w:numId="2" w16cid:durableId="1171142942">
    <w:abstractNumId w:val="2"/>
  </w:num>
  <w:num w:numId="3" w16cid:durableId="1774323556">
    <w:abstractNumId w:val="8"/>
  </w:num>
  <w:num w:numId="4" w16cid:durableId="867449963">
    <w:abstractNumId w:val="5"/>
  </w:num>
  <w:num w:numId="5" w16cid:durableId="1077361626">
    <w:abstractNumId w:val="6"/>
  </w:num>
  <w:num w:numId="6" w16cid:durableId="209616761">
    <w:abstractNumId w:val="4"/>
  </w:num>
  <w:num w:numId="7" w16cid:durableId="855579123">
    <w:abstractNumId w:val="1"/>
  </w:num>
  <w:num w:numId="8" w16cid:durableId="152189680">
    <w:abstractNumId w:val="7"/>
  </w:num>
  <w:num w:numId="9" w16cid:durableId="2077967279">
    <w:abstractNumId w:val="7"/>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tabs>
            <w:tab w:val="num" w:pos="420"/>
          </w:tabs>
          <w:ind w:left="420" w:hanging="420"/>
        </w:pPr>
        <w:rPr>
          <w:rFonts w:hint="eastAsia"/>
        </w:rPr>
      </w:lvl>
    </w:lvlOverride>
    <w:lvlOverride w:ilvl="2">
      <w:lvl w:ilvl="2">
        <w:start w:val="1"/>
        <w:numFmt w:val="decimal"/>
        <w:lvlText w:val="%1.%2.%3."/>
        <w:lvlJc w:val="left"/>
        <w:pPr>
          <w:ind w:left="709" w:hanging="709"/>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10" w16cid:durableId="473841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D4"/>
    <w:rsid w:val="0000598A"/>
    <w:rsid w:val="000432E6"/>
    <w:rsid w:val="000518B8"/>
    <w:rsid w:val="0007556F"/>
    <w:rsid w:val="00084D38"/>
    <w:rsid w:val="00090ADC"/>
    <w:rsid w:val="000A2083"/>
    <w:rsid w:val="000B0156"/>
    <w:rsid w:val="000C70B1"/>
    <w:rsid w:val="000E2AF9"/>
    <w:rsid w:val="000E3479"/>
    <w:rsid w:val="000E3A9C"/>
    <w:rsid w:val="000E63FC"/>
    <w:rsid w:val="00104305"/>
    <w:rsid w:val="001471C1"/>
    <w:rsid w:val="001523CA"/>
    <w:rsid w:val="00152E11"/>
    <w:rsid w:val="00172667"/>
    <w:rsid w:val="001846B6"/>
    <w:rsid w:val="001A7A2A"/>
    <w:rsid w:val="001C1F98"/>
    <w:rsid w:val="001C3426"/>
    <w:rsid w:val="0022742C"/>
    <w:rsid w:val="0024287D"/>
    <w:rsid w:val="00242E79"/>
    <w:rsid w:val="00244314"/>
    <w:rsid w:val="002560DD"/>
    <w:rsid w:val="002579B6"/>
    <w:rsid w:val="00262821"/>
    <w:rsid w:val="0026310F"/>
    <w:rsid w:val="00287B09"/>
    <w:rsid w:val="002A21B3"/>
    <w:rsid w:val="002D7C98"/>
    <w:rsid w:val="0031233C"/>
    <w:rsid w:val="003228DD"/>
    <w:rsid w:val="00327288"/>
    <w:rsid w:val="00327641"/>
    <w:rsid w:val="00337F44"/>
    <w:rsid w:val="00357F1B"/>
    <w:rsid w:val="003952EB"/>
    <w:rsid w:val="003B046D"/>
    <w:rsid w:val="004343D4"/>
    <w:rsid w:val="00447354"/>
    <w:rsid w:val="00470982"/>
    <w:rsid w:val="004A6E1E"/>
    <w:rsid w:val="004B5212"/>
    <w:rsid w:val="004C5CBD"/>
    <w:rsid w:val="004D76C6"/>
    <w:rsid w:val="005055C2"/>
    <w:rsid w:val="00514EDB"/>
    <w:rsid w:val="00527DE3"/>
    <w:rsid w:val="00542A2D"/>
    <w:rsid w:val="005620CC"/>
    <w:rsid w:val="00590FEA"/>
    <w:rsid w:val="005B5570"/>
    <w:rsid w:val="00624D6A"/>
    <w:rsid w:val="00633B39"/>
    <w:rsid w:val="006456DC"/>
    <w:rsid w:val="00646DB3"/>
    <w:rsid w:val="00674CCE"/>
    <w:rsid w:val="00676219"/>
    <w:rsid w:val="006B1A82"/>
    <w:rsid w:val="006F3118"/>
    <w:rsid w:val="006F4402"/>
    <w:rsid w:val="006F623C"/>
    <w:rsid w:val="00701EA4"/>
    <w:rsid w:val="0075609D"/>
    <w:rsid w:val="007700BC"/>
    <w:rsid w:val="00791BBC"/>
    <w:rsid w:val="00791EE3"/>
    <w:rsid w:val="007A30C8"/>
    <w:rsid w:val="007B6D1C"/>
    <w:rsid w:val="00830C96"/>
    <w:rsid w:val="00856524"/>
    <w:rsid w:val="008734AD"/>
    <w:rsid w:val="00896DB4"/>
    <w:rsid w:val="008F66D0"/>
    <w:rsid w:val="00904B2D"/>
    <w:rsid w:val="009129A2"/>
    <w:rsid w:val="0093064F"/>
    <w:rsid w:val="009513EC"/>
    <w:rsid w:val="00977F3C"/>
    <w:rsid w:val="00993BB7"/>
    <w:rsid w:val="009D223C"/>
    <w:rsid w:val="009F0E9A"/>
    <w:rsid w:val="009F4055"/>
    <w:rsid w:val="00AB1E73"/>
    <w:rsid w:val="00AB25C1"/>
    <w:rsid w:val="00B61156"/>
    <w:rsid w:val="00B61BAD"/>
    <w:rsid w:val="00B62B8C"/>
    <w:rsid w:val="00B76523"/>
    <w:rsid w:val="00B770C9"/>
    <w:rsid w:val="00B85234"/>
    <w:rsid w:val="00BA047A"/>
    <w:rsid w:val="00BB14CA"/>
    <w:rsid w:val="00C24715"/>
    <w:rsid w:val="00CA528F"/>
    <w:rsid w:val="00CB143C"/>
    <w:rsid w:val="00CE22B3"/>
    <w:rsid w:val="00CF02D2"/>
    <w:rsid w:val="00D13E11"/>
    <w:rsid w:val="00D2029E"/>
    <w:rsid w:val="00D2580D"/>
    <w:rsid w:val="00D37675"/>
    <w:rsid w:val="00D465C7"/>
    <w:rsid w:val="00D46FE8"/>
    <w:rsid w:val="00D6790A"/>
    <w:rsid w:val="00D844C2"/>
    <w:rsid w:val="00D93F27"/>
    <w:rsid w:val="00DA345B"/>
    <w:rsid w:val="00DD2486"/>
    <w:rsid w:val="00DD38A2"/>
    <w:rsid w:val="00DF42DC"/>
    <w:rsid w:val="00E06E72"/>
    <w:rsid w:val="00E16BCC"/>
    <w:rsid w:val="00E337B2"/>
    <w:rsid w:val="00E34FD5"/>
    <w:rsid w:val="00E42493"/>
    <w:rsid w:val="00E54E27"/>
    <w:rsid w:val="00E56B3C"/>
    <w:rsid w:val="00E7682D"/>
    <w:rsid w:val="00E840F0"/>
    <w:rsid w:val="00E92EDF"/>
    <w:rsid w:val="00F1793E"/>
    <w:rsid w:val="00F36E68"/>
    <w:rsid w:val="00F81C32"/>
    <w:rsid w:val="00F83F03"/>
    <w:rsid w:val="00FA2C5D"/>
    <w:rsid w:val="00FB73F8"/>
    <w:rsid w:val="00FC650F"/>
    <w:rsid w:val="00FC7E69"/>
    <w:rsid w:val="00FE133D"/>
    <w:rsid w:val="00FE35D6"/>
    <w:rsid w:val="00FF1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D2FC6"/>
  <w15:chartTrackingRefBased/>
  <w15:docId w15:val="{54886BF0-D635-4ECE-8143-BB80A5BB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56F"/>
    <w:pPr>
      <w:autoSpaceDE w:val="0"/>
      <w:autoSpaceDN w:val="0"/>
    </w:pPr>
    <w:rPr>
      <w:rFonts w:ascii="Times New Roman" w:eastAsia="宋体" w:hAnsi="Times New Roman" w:cs="Times New Roman"/>
      <w:kern w:val="0"/>
      <w:sz w:val="20"/>
      <w:szCs w:val="20"/>
      <w:lang w:val="de-DE" w:eastAsia="en-US"/>
    </w:rPr>
  </w:style>
  <w:style w:type="paragraph" w:styleId="1">
    <w:name w:val="heading 1"/>
    <w:basedOn w:val="a"/>
    <w:next w:val="a"/>
    <w:link w:val="10"/>
    <w:qFormat/>
    <w:rsid w:val="00DD38A2"/>
    <w:pPr>
      <w:keepNext/>
      <w:keepLines/>
      <w:spacing w:before="360" w:after="120"/>
      <w:outlineLvl w:val="0"/>
    </w:pPr>
    <w:rPr>
      <w:rFonts w:eastAsia="Times New Roman"/>
      <w:b/>
      <w:bCs/>
      <w:kern w:val="44"/>
      <w:sz w:val="28"/>
      <w:szCs w:val="44"/>
    </w:rPr>
  </w:style>
  <w:style w:type="paragraph" w:styleId="2">
    <w:name w:val="heading 2"/>
    <w:basedOn w:val="a"/>
    <w:next w:val="a"/>
    <w:link w:val="20"/>
    <w:uiPriority w:val="9"/>
    <w:unhideWhenUsed/>
    <w:qFormat/>
    <w:rsid w:val="00F1793E"/>
    <w:pPr>
      <w:keepNext/>
      <w:keepLines/>
      <w:spacing w:before="180" w:after="120"/>
      <w:outlineLvl w:val="1"/>
    </w:pPr>
    <w:rPr>
      <w:rFonts w:eastAsia="Times New Roman" w:cstheme="majorBidi"/>
      <w:b/>
      <w:bCs/>
      <w:sz w:val="24"/>
      <w:szCs w:val="32"/>
    </w:rPr>
  </w:style>
  <w:style w:type="paragraph" w:styleId="3">
    <w:name w:val="heading 3"/>
    <w:basedOn w:val="a"/>
    <w:next w:val="a"/>
    <w:link w:val="30"/>
    <w:uiPriority w:val="9"/>
    <w:unhideWhenUsed/>
    <w:qFormat/>
    <w:rsid w:val="00CF02D2"/>
    <w:pPr>
      <w:keepNext/>
      <w:keepLines/>
      <w:spacing w:before="120" w:after="60"/>
      <w:outlineLvl w:val="2"/>
    </w:pPr>
    <w:rPr>
      <w:rFonts w:eastAsia="Times New Roman"/>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556F"/>
    <w:pPr>
      <w:tabs>
        <w:tab w:val="center" w:pos="4320"/>
        <w:tab w:val="right" w:pos="8640"/>
      </w:tabs>
    </w:pPr>
  </w:style>
  <w:style w:type="character" w:customStyle="1" w:styleId="a4">
    <w:name w:val="页眉 字符"/>
    <w:basedOn w:val="a0"/>
    <w:link w:val="a3"/>
    <w:uiPriority w:val="99"/>
    <w:rsid w:val="0007556F"/>
  </w:style>
  <w:style w:type="paragraph" w:styleId="a5">
    <w:name w:val="footer"/>
    <w:basedOn w:val="a"/>
    <w:link w:val="a6"/>
    <w:uiPriority w:val="99"/>
    <w:unhideWhenUsed/>
    <w:rsid w:val="0007556F"/>
    <w:pPr>
      <w:tabs>
        <w:tab w:val="center" w:pos="4320"/>
        <w:tab w:val="right" w:pos="8640"/>
      </w:tabs>
    </w:pPr>
  </w:style>
  <w:style w:type="character" w:customStyle="1" w:styleId="a6">
    <w:name w:val="页脚 字符"/>
    <w:basedOn w:val="a0"/>
    <w:link w:val="a5"/>
    <w:uiPriority w:val="99"/>
    <w:rsid w:val="0007556F"/>
  </w:style>
  <w:style w:type="paragraph" w:customStyle="1" w:styleId="TTPTitle">
    <w:name w:val="TTP Title"/>
    <w:basedOn w:val="a"/>
    <w:next w:val="TTPAuthors"/>
    <w:uiPriority w:val="99"/>
    <w:qFormat/>
    <w:rsid w:val="0007556F"/>
    <w:pPr>
      <w:spacing w:after="120"/>
      <w:jc w:val="center"/>
    </w:pPr>
    <w:rPr>
      <w:rFonts w:ascii="Arial" w:hAnsi="Arial" w:cs="Arial"/>
      <w:b/>
      <w:bCs/>
      <w:sz w:val="30"/>
      <w:szCs w:val="30"/>
      <w:lang w:val="en-US"/>
    </w:rPr>
  </w:style>
  <w:style w:type="paragraph" w:customStyle="1" w:styleId="TTPAuthors">
    <w:name w:val="TTP Author(s)"/>
    <w:basedOn w:val="a"/>
    <w:next w:val="TTPAddress"/>
    <w:uiPriority w:val="99"/>
    <w:qFormat/>
    <w:rsid w:val="0007556F"/>
    <w:pPr>
      <w:spacing w:before="120"/>
      <w:jc w:val="center"/>
    </w:pPr>
    <w:rPr>
      <w:rFonts w:ascii="Arial" w:hAnsi="Arial" w:cs="Arial"/>
      <w:sz w:val="28"/>
      <w:szCs w:val="28"/>
      <w:lang w:val="en-US"/>
    </w:rPr>
  </w:style>
  <w:style w:type="paragraph" w:customStyle="1" w:styleId="TTPAddress">
    <w:name w:val="TTP Address"/>
    <w:basedOn w:val="a"/>
    <w:uiPriority w:val="99"/>
    <w:rsid w:val="0007556F"/>
    <w:pPr>
      <w:spacing w:before="120"/>
      <w:jc w:val="center"/>
    </w:pPr>
    <w:rPr>
      <w:rFonts w:ascii="Arial" w:hAnsi="Arial" w:cs="Arial"/>
      <w:sz w:val="22"/>
      <w:szCs w:val="22"/>
      <w:lang w:val="en-US"/>
    </w:rPr>
  </w:style>
  <w:style w:type="paragraph" w:customStyle="1" w:styleId="TTPSectionHeading">
    <w:name w:val="TTP Section Heading"/>
    <w:basedOn w:val="a"/>
    <w:next w:val="a"/>
    <w:uiPriority w:val="99"/>
    <w:rsid w:val="0007556F"/>
    <w:pPr>
      <w:spacing w:before="360" w:after="120"/>
      <w:jc w:val="both"/>
    </w:pPr>
    <w:rPr>
      <w:b/>
      <w:bCs/>
      <w:sz w:val="24"/>
      <w:szCs w:val="24"/>
      <w:lang w:val="en-US"/>
    </w:rPr>
  </w:style>
  <w:style w:type="paragraph" w:customStyle="1" w:styleId="TTPParagraphothers">
    <w:name w:val="TTP Paragraph (others)"/>
    <w:basedOn w:val="a"/>
    <w:link w:val="TTPParagraphothers0"/>
    <w:uiPriority w:val="99"/>
    <w:qFormat/>
    <w:rsid w:val="0007556F"/>
    <w:pPr>
      <w:ind w:firstLine="283"/>
      <w:jc w:val="both"/>
    </w:pPr>
    <w:rPr>
      <w:sz w:val="24"/>
      <w:szCs w:val="24"/>
      <w:lang w:val="en-US"/>
    </w:rPr>
  </w:style>
  <w:style w:type="paragraph" w:customStyle="1" w:styleId="TTPReference">
    <w:name w:val="TTP Reference"/>
    <w:basedOn w:val="a"/>
    <w:rsid w:val="0007556F"/>
    <w:pPr>
      <w:tabs>
        <w:tab w:val="left" w:pos="426"/>
      </w:tabs>
      <w:spacing w:after="120" w:line="288" w:lineRule="atLeast"/>
      <w:jc w:val="both"/>
    </w:pPr>
    <w:rPr>
      <w:sz w:val="24"/>
      <w:szCs w:val="24"/>
    </w:rPr>
  </w:style>
  <w:style w:type="paragraph" w:customStyle="1" w:styleId="TTPKeywords">
    <w:name w:val="TTP Keywords"/>
    <w:basedOn w:val="a"/>
    <w:next w:val="TTPAbstract"/>
    <w:uiPriority w:val="99"/>
    <w:rsid w:val="0007556F"/>
    <w:pPr>
      <w:spacing w:before="360"/>
      <w:jc w:val="both"/>
    </w:pPr>
    <w:rPr>
      <w:rFonts w:ascii="Arial" w:hAnsi="Arial" w:cs="Arial"/>
      <w:sz w:val="22"/>
      <w:szCs w:val="22"/>
      <w:lang w:val="en-US"/>
    </w:rPr>
  </w:style>
  <w:style w:type="paragraph" w:customStyle="1" w:styleId="TTPAbstract">
    <w:name w:val="TTP Abstract"/>
    <w:basedOn w:val="a"/>
    <w:next w:val="TTPSectionHeading"/>
    <w:qFormat/>
    <w:rsid w:val="0007556F"/>
    <w:pPr>
      <w:spacing w:before="360"/>
      <w:jc w:val="both"/>
    </w:pPr>
    <w:rPr>
      <w:sz w:val="24"/>
      <w:szCs w:val="24"/>
      <w:lang w:val="en-US"/>
    </w:rPr>
  </w:style>
  <w:style w:type="character" w:customStyle="1" w:styleId="Char">
    <w:name w:val="页眉 Char"/>
    <w:uiPriority w:val="99"/>
    <w:semiHidden/>
    <w:locked/>
    <w:rsid w:val="0007556F"/>
    <w:rPr>
      <w:rFonts w:cs="Times New Roman"/>
      <w:sz w:val="20"/>
      <w:szCs w:val="20"/>
      <w:lang w:val="de-DE" w:eastAsia="en-US"/>
    </w:rPr>
  </w:style>
  <w:style w:type="character" w:styleId="a7">
    <w:name w:val="Hyperlink"/>
    <w:uiPriority w:val="99"/>
    <w:rsid w:val="0007556F"/>
    <w:rPr>
      <w:rFonts w:cs="Times New Roman"/>
      <w:color w:val="0000FF"/>
      <w:u w:val="single"/>
    </w:rPr>
  </w:style>
  <w:style w:type="character" w:customStyle="1" w:styleId="10">
    <w:name w:val="标题 1 字符"/>
    <w:basedOn w:val="a0"/>
    <w:link w:val="1"/>
    <w:qFormat/>
    <w:rsid w:val="00DD38A2"/>
    <w:rPr>
      <w:rFonts w:ascii="Times New Roman" w:eastAsia="Times New Roman" w:hAnsi="Times New Roman" w:cs="Times New Roman"/>
      <w:b/>
      <w:bCs/>
      <w:kern w:val="44"/>
      <w:sz w:val="28"/>
      <w:szCs w:val="44"/>
      <w:lang w:val="de-DE" w:eastAsia="en-US"/>
    </w:rPr>
  </w:style>
  <w:style w:type="character" w:customStyle="1" w:styleId="20">
    <w:name w:val="标题 2 字符"/>
    <w:basedOn w:val="a0"/>
    <w:link w:val="2"/>
    <w:uiPriority w:val="9"/>
    <w:rsid w:val="00F1793E"/>
    <w:rPr>
      <w:rFonts w:ascii="Times New Roman" w:eastAsia="Times New Roman" w:hAnsi="Times New Roman" w:cstheme="majorBidi"/>
      <w:b/>
      <w:bCs/>
      <w:kern w:val="0"/>
      <w:sz w:val="24"/>
      <w:szCs w:val="32"/>
      <w:lang w:val="de-DE" w:eastAsia="en-US"/>
    </w:rPr>
  </w:style>
  <w:style w:type="paragraph" w:styleId="a8">
    <w:name w:val="List Paragraph"/>
    <w:basedOn w:val="a"/>
    <w:uiPriority w:val="34"/>
    <w:qFormat/>
    <w:rsid w:val="00CF02D2"/>
    <w:pPr>
      <w:ind w:firstLineChars="200" w:firstLine="420"/>
    </w:pPr>
  </w:style>
  <w:style w:type="character" w:customStyle="1" w:styleId="30">
    <w:name w:val="标题 3 字符"/>
    <w:basedOn w:val="a0"/>
    <w:link w:val="3"/>
    <w:uiPriority w:val="9"/>
    <w:qFormat/>
    <w:rsid w:val="00CF02D2"/>
    <w:rPr>
      <w:rFonts w:ascii="Times New Roman" w:eastAsia="Times New Roman" w:hAnsi="Times New Roman" w:cs="Times New Roman"/>
      <w:b/>
      <w:bCs/>
      <w:kern w:val="0"/>
      <w:sz w:val="24"/>
      <w:szCs w:val="32"/>
      <w:lang w:val="de-DE" w:eastAsia="en-US"/>
    </w:rPr>
  </w:style>
  <w:style w:type="paragraph" w:customStyle="1" w:styleId="references0">
    <w:name w:val="references"/>
    <w:uiPriority w:val="99"/>
    <w:qFormat/>
    <w:rsid w:val="00E337B2"/>
    <w:pPr>
      <w:numPr>
        <w:numId w:val="5"/>
      </w:numPr>
      <w:tabs>
        <w:tab w:val="left" w:pos="360"/>
      </w:tabs>
      <w:spacing w:after="50" w:line="180" w:lineRule="exact"/>
      <w:jc w:val="both"/>
    </w:pPr>
    <w:rPr>
      <w:rFonts w:ascii="Times New Roman" w:eastAsia="宋体" w:hAnsi="Times New Roman" w:cs="Times New Roman"/>
      <w:kern w:val="0"/>
      <w:sz w:val="16"/>
      <w:szCs w:val="16"/>
      <w:lang w:eastAsia="en-US"/>
    </w:rPr>
  </w:style>
  <w:style w:type="paragraph" w:customStyle="1" w:styleId="Reference">
    <w:name w:val="Reference"/>
    <w:basedOn w:val="a"/>
    <w:rsid w:val="00E337B2"/>
    <w:pPr>
      <w:autoSpaceDE/>
      <w:autoSpaceDN/>
      <w:ind w:left="720" w:hanging="360"/>
      <w:jc w:val="both"/>
    </w:pPr>
    <w:rPr>
      <w:rFonts w:eastAsiaTheme="minorEastAsia"/>
      <w:lang w:val="en-US"/>
    </w:rPr>
  </w:style>
  <w:style w:type="table" w:styleId="a9">
    <w:name w:val="Table Grid"/>
    <w:basedOn w:val="a1"/>
    <w:uiPriority w:val="39"/>
    <w:rsid w:val="00327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F3118"/>
    <w:rPr>
      <w:sz w:val="18"/>
      <w:szCs w:val="18"/>
    </w:rPr>
  </w:style>
  <w:style w:type="character" w:customStyle="1" w:styleId="ab">
    <w:name w:val="批注框文本 字符"/>
    <w:basedOn w:val="a0"/>
    <w:link w:val="aa"/>
    <w:uiPriority w:val="99"/>
    <w:semiHidden/>
    <w:rsid w:val="006F3118"/>
    <w:rPr>
      <w:rFonts w:ascii="Times New Roman" w:eastAsia="宋体" w:hAnsi="Times New Roman" w:cs="Times New Roman"/>
      <w:kern w:val="0"/>
      <w:sz w:val="18"/>
      <w:szCs w:val="18"/>
      <w:lang w:val="de-DE" w:eastAsia="en-US"/>
    </w:rPr>
  </w:style>
  <w:style w:type="table" w:styleId="11">
    <w:name w:val="Plain Table 1"/>
    <w:basedOn w:val="a1"/>
    <w:uiPriority w:val="41"/>
    <w:rsid w:val="000E63FC"/>
    <w:rPr>
      <w:kern w:val="0"/>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ferences">
    <w:name w:val="References"/>
    <w:basedOn w:val="a"/>
    <w:link w:val="References1"/>
    <w:qFormat/>
    <w:rsid w:val="000E63FC"/>
    <w:pPr>
      <w:numPr>
        <w:numId w:val="6"/>
      </w:numPr>
      <w:spacing w:after="120" w:line="200" w:lineRule="exact"/>
      <w:ind w:left="212" w:hangingChars="212" w:hanging="212"/>
      <w:jc w:val="both"/>
    </w:pPr>
    <w:rPr>
      <w:rFonts w:eastAsia="Times New Roman"/>
      <w:sz w:val="18"/>
      <w:szCs w:val="18"/>
    </w:rPr>
  </w:style>
  <w:style w:type="character" w:customStyle="1" w:styleId="References1">
    <w:name w:val="References 字符"/>
    <w:basedOn w:val="a0"/>
    <w:link w:val="References"/>
    <w:rsid w:val="000E63FC"/>
    <w:rPr>
      <w:rFonts w:ascii="Times New Roman" w:eastAsia="Times New Roman" w:hAnsi="Times New Roman" w:cs="Times New Roman"/>
      <w:kern w:val="0"/>
      <w:sz w:val="18"/>
      <w:szCs w:val="18"/>
      <w:lang w:val="de-DE" w:eastAsia="en-US"/>
    </w:rPr>
  </w:style>
  <w:style w:type="paragraph" w:customStyle="1" w:styleId="Formula">
    <w:name w:val="Formula"/>
    <w:basedOn w:val="a"/>
    <w:link w:val="Formula0"/>
    <w:qFormat/>
    <w:rsid w:val="000E63FC"/>
    <w:pPr>
      <w:widowControl w:val="0"/>
      <w:autoSpaceDE/>
      <w:autoSpaceDN/>
      <w:spacing w:before="120" w:after="120"/>
      <w:jc w:val="right"/>
    </w:pPr>
    <w:rPr>
      <w:rFonts w:eastAsia="Times New Roman"/>
      <w:kern w:val="2"/>
      <w:lang w:val="en-US" w:eastAsia="zh-CN"/>
    </w:rPr>
  </w:style>
  <w:style w:type="character" w:customStyle="1" w:styleId="Formula0">
    <w:name w:val="Formula 字符"/>
    <w:basedOn w:val="a0"/>
    <w:link w:val="Formula"/>
    <w:rsid w:val="000E63FC"/>
    <w:rPr>
      <w:rFonts w:ascii="Times New Roman" w:eastAsia="Times New Roman" w:hAnsi="Times New Roman" w:cs="Times New Roman"/>
      <w:sz w:val="20"/>
      <w:szCs w:val="20"/>
    </w:rPr>
  </w:style>
  <w:style w:type="paragraph" w:customStyle="1" w:styleId="Figure">
    <w:name w:val="Figure"/>
    <w:basedOn w:val="TTPParagraphothers"/>
    <w:link w:val="Figure0"/>
    <w:qFormat/>
    <w:rsid w:val="000E63FC"/>
    <w:pPr>
      <w:spacing w:before="60" w:after="60" w:line="200" w:lineRule="exact"/>
      <w:ind w:firstLine="0"/>
      <w:jc w:val="center"/>
    </w:pPr>
    <w:rPr>
      <w:sz w:val="18"/>
      <w:szCs w:val="18"/>
    </w:rPr>
  </w:style>
  <w:style w:type="character" w:customStyle="1" w:styleId="TTPParagraphothers0">
    <w:name w:val="TTP Paragraph (others) 字符"/>
    <w:basedOn w:val="a0"/>
    <w:link w:val="TTPParagraphothers"/>
    <w:uiPriority w:val="99"/>
    <w:qFormat/>
    <w:rsid w:val="000E63FC"/>
    <w:rPr>
      <w:rFonts w:ascii="Times New Roman" w:eastAsia="宋体" w:hAnsi="Times New Roman" w:cs="Times New Roman"/>
      <w:kern w:val="0"/>
      <w:sz w:val="24"/>
      <w:szCs w:val="24"/>
      <w:lang w:eastAsia="en-US"/>
    </w:rPr>
  </w:style>
  <w:style w:type="character" w:customStyle="1" w:styleId="Figure0">
    <w:name w:val="Figure 字符"/>
    <w:basedOn w:val="TTPParagraphothers0"/>
    <w:link w:val="Figure"/>
    <w:rsid w:val="000E63FC"/>
    <w:rPr>
      <w:rFonts w:ascii="Times New Roman" w:eastAsia="宋体" w:hAnsi="Times New Roman" w:cs="Times New Roman"/>
      <w:kern w:val="0"/>
      <w:sz w:val="18"/>
      <w:szCs w:val="18"/>
      <w:lang w:eastAsia="en-US"/>
    </w:rPr>
  </w:style>
  <w:style w:type="paragraph" w:styleId="ac">
    <w:name w:val="Revision"/>
    <w:hidden/>
    <w:uiPriority w:val="99"/>
    <w:semiHidden/>
    <w:rsid w:val="000B0156"/>
    <w:rPr>
      <w:rFonts w:ascii="Times New Roman" w:eastAsia="宋体" w:hAnsi="Times New Roman" w:cs="Times New Roman"/>
      <w:kern w:val="0"/>
      <w:sz w:val="20"/>
      <w:szCs w:val="20"/>
      <w:lang w:val="de-DE" w:eastAsia="en-US"/>
    </w:rPr>
  </w:style>
  <w:style w:type="character" w:styleId="ad">
    <w:name w:val="annotation reference"/>
    <w:basedOn w:val="a0"/>
    <w:uiPriority w:val="99"/>
    <w:semiHidden/>
    <w:unhideWhenUsed/>
    <w:rsid w:val="000B0156"/>
    <w:rPr>
      <w:sz w:val="21"/>
      <w:szCs w:val="21"/>
    </w:rPr>
  </w:style>
  <w:style w:type="paragraph" w:styleId="ae">
    <w:name w:val="annotation text"/>
    <w:basedOn w:val="a"/>
    <w:link w:val="af"/>
    <w:uiPriority w:val="99"/>
    <w:semiHidden/>
    <w:unhideWhenUsed/>
    <w:rsid w:val="000B0156"/>
  </w:style>
  <w:style w:type="character" w:customStyle="1" w:styleId="af">
    <w:name w:val="批注文字 字符"/>
    <w:basedOn w:val="a0"/>
    <w:link w:val="ae"/>
    <w:uiPriority w:val="99"/>
    <w:semiHidden/>
    <w:rsid w:val="000B0156"/>
    <w:rPr>
      <w:rFonts w:ascii="Times New Roman" w:eastAsia="宋体" w:hAnsi="Times New Roman" w:cs="Times New Roman"/>
      <w:kern w:val="0"/>
      <w:sz w:val="20"/>
      <w:szCs w:val="20"/>
      <w:lang w:val="de-DE" w:eastAsia="en-US"/>
    </w:rPr>
  </w:style>
  <w:style w:type="paragraph" w:styleId="af0">
    <w:name w:val="annotation subject"/>
    <w:basedOn w:val="ae"/>
    <w:next w:val="ae"/>
    <w:link w:val="af1"/>
    <w:uiPriority w:val="99"/>
    <w:semiHidden/>
    <w:unhideWhenUsed/>
    <w:rsid w:val="000B0156"/>
    <w:rPr>
      <w:b/>
      <w:bCs/>
    </w:rPr>
  </w:style>
  <w:style w:type="character" w:customStyle="1" w:styleId="af1">
    <w:name w:val="批注主题 字符"/>
    <w:basedOn w:val="af"/>
    <w:link w:val="af0"/>
    <w:uiPriority w:val="99"/>
    <w:semiHidden/>
    <w:rsid w:val="000B0156"/>
    <w:rPr>
      <w:rFonts w:ascii="Times New Roman" w:eastAsia="宋体" w:hAnsi="Times New Roman" w:cs="Times New Roman"/>
      <w:b/>
      <w:bCs/>
      <w:kern w:val="0"/>
      <w:sz w:val="20"/>
      <w:szCs w:val="20"/>
      <w:lang w:val="de-DE" w:eastAsia="en-US"/>
    </w:rPr>
  </w:style>
  <w:style w:type="character" w:styleId="af2">
    <w:name w:val="Unresolved Mention"/>
    <w:basedOn w:val="a0"/>
    <w:uiPriority w:val="99"/>
    <w:semiHidden/>
    <w:unhideWhenUsed/>
    <w:rsid w:val="00E92EDF"/>
    <w:rPr>
      <w:color w:val="605E5C"/>
      <w:shd w:val="clear" w:color="auto" w:fill="E1DFDD"/>
    </w:rPr>
  </w:style>
  <w:style w:type="paragraph" w:styleId="af3">
    <w:name w:val="caption"/>
    <w:basedOn w:val="a"/>
    <w:next w:val="a"/>
    <w:semiHidden/>
    <w:unhideWhenUsed/>
    <w:qFormat/>
    <w:rsid w:val="005055C2"/>
    <w:pPr>
      <w:widowControl w:val="0"/>
      <w:autoSpaceDE/>
      <w:autoSpaceDN/>
      <w:jc w:val="center"/>
    </w:pPr>
    <w:rPr>
      <w:rFonts w:ascii="Arial" w:eastAsia="黑体" w:hAnsi="Arial" w:cstheme="minorBidi"/>
      <w:kern w:val="2"/>
      <w:sz w:val="21"/>
      <w:szCs w:val="24"/>
      <w:lang w:val="en-US" w:eastAsia="zh-CN"/>
    </w:rPr>
  </w:style>
  <w:style w:type="paragraph" w:customStyle="1" w:styleId="DZW">
    <w:name w:val="DZW"/>
    <w:basedOn w:val="TTPParagraphothers"/>
    <w:link w:val="DZW0"/>
    <w:qFormat/>
    <w:rsid w:val="005055C2"/>
    <w:pPr>
      <w:ind w:firstLine="284"/>
      <w:textAlignment w:val="center"/>
    </w:pPr>
  </w:style>
  <w:style w:type="character" w:customStyle="1" w:styleId="DZW0">
    <w:name w:val="DZW 字符"/>
    <w:basedOn w:val="TTPParagraphothers0"/>
    <w:link w:val="DZW"/>
    <w:qFormat/>
    <w:rsid w:val="005055C2"/>
    <w:rPr>
      <w:rFonts w:ascii="Times New Roman" w:eastAsia="宋体"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cc@dddd.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A22C5-7DA5-4811-B4FA-477404556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3453</Words>
  <Characters>23418</Characters>
  <Application>Microsoft Office Word</Application>
  <DocSecurity>0</DocSecurity>
  <Lines>349</Lines>
  <Paragraphs>116</Paragraphs>
  <ScaleCrop>false</ScaleCrop>
  <Company/>
  <LinksUpToDate>false</LinksUpToDate>
  <CharactersWithSpaces>26755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DRP</dc:creator>
  <cp:keywords/>
  <dc:description/>
  <cp:lastModifiedBy>丽 许</cp:lastModifiedBy>
  <cp:revision>4</cp:revision>
  <cp:lastPrinted>2021-10-18T07:31:00Z</cp:lastPrinted>
  <dcterms:created xsi:type="dcterms:W3CDTF">2025-11-04T03:48:00Z</dcterms:created>
  <dcterms:modified xsi:type="dcterms:W3CDTF">2025-11-13T05:54:00Z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