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674B3" w14:textId="16625CE0" w:rsidR="007F5FFD" w:rsidRPr="00D91ABA" w:rsidRDefault="007F5FFD">
      <w:pPr>
        <w:pStyle w:val="PaperHeader"/>
        <w:rPr>
          <w:color w:val="auto"/>
          <w:lang w:val="en-GB"/>
        </w:rPr>
      </w:pPr>
      <w:r w:rsidRPr="00D91ABA">
        <w:rPr>
          <w:color w:val="auto"/>
          <w:lang w:val="en-GB"/>
        </w:rPr>
        <w:t xml:space="preserve">ADMET &amp; DMPK </w:t>
      </w:r>
      <w:r w:rsidR="00307302">
        <w:rPr>
          <w:color w:val="auto"/>
          <w:lang w:val="en-GB"/>
        </w:rPr>
        <w:t>8</w:t>
      </w:r>
      <w:r w:rsidRPr="00D91ABA">
        <w:rPr>
          <w:color w:val="auto"/>
          <w:lang w:val="en-GB"/>
        </w:rPr>
        <w:t>(</w:t>
      </w:r>
      <w:r w:rsidR="00307302">
        <w:rPr>
          <w:color w:val="auto"/>
          <w:lang w:val="en-GB"/>
        </w:rPr>
        <w:t>1</w:t>
      </w:r>
      <w:r w:rsidRPr="00D91ABA">
        <w:rPr>
          <w:color w:val="auto"/>
          <w:lang w:val="en-GB"/>
        </w:rPr>
        <w:t>) (20</w:t>
      </w:r>
      <w:r w:rsidR="00D91ABA">
        <w:rPr>
          <w:color w:val="auto"/>
          <w:lang w:val="en-GB"/>
        </w:rPr>
        <w:t>20</w:t>
      </w:r>
      <w:r w:rsidRPr="00D91ABA">
        <w:rPr>
          <w:color w:val="auto"/>
          <w:lang w:val="en-GB"/>
        </w:rPr>
        <w:t xml:space="preserve">) </w:t>
      </w:r>
      <w:r w:rsidR="00307302">
        <w:rPr>
          <w:color w:val="auto"/>
          <w:lang w:val="en-GB"/>
        </w:rPr>
        <w:t>16</w:t>
      </w:r>
      <w:r w:rsidRPr="00D91ABA">
        <w:rPr>
          <w:color w:val="auto"/>
          <w:lang w:val="en-GB"/>
        </w:rPr>
        <w:t>-</w:t>
      </w:r>
      <w:r w:rsidR="00307302">
        <w:rPr>
          <w:color w:val="auto"/>
          <w:lang w:val="en-GB"/>
        </w:rPr>
        <w:t>28</w:t>
      </w:r>
      <w:r w:rsidRPr="00D91ABA">
        <w:rPr>
          <w:color w:val="auto"/>
          <w:lang w:val="en-GB"/>
        </w:rPr>
        <w:t xml:space="preserve">; </w:t>
      </w:r>
      <w:proofErr w:type="spellStart"/>
      <w:r w:rsidRPr="00D91ABA">
        <w:rPr>
          <w:color w:val="auto"/>
          <w:lang w:val="en-GB"/>
        </w:rPr>
        <w:t>doi</w:t>
      </w:r>
      <w:proofErr w:type="spellEnd"/>
      <w:r w:rsidRPr="00D91ABA">
        <w:rPr>
          <w:color w:val="auto"/>
          <w:lang w:val="en-GB"/>
        </w:rPr>
        <w:t xml:space="preserve">: </w:t>
      </w:r>
      <w:hyperlink r:id="rId9" w:history="1">
        <w:r w:rsidR="0071553F" w:rsidRPr="00D25557">
          <w:rPr>
            <w:rStyle w:val="Hyperlink"/>
            <w:b/>
            <w:lang w:val="en-GB"/>
          </w:rPr>
          <w:t>http://dx.doi.org/10.5599/admet.761</w:t>
        </w:r>
      </w:hyperlink>
      <w:r w:rsidR="0071553F">
        <w:rPr>
          <w:b/>
          <w:color w:val="auto"/>
          <w:lang w:val="en-GB"/>
        </w:rPr>
        <w:t xml:space="preserve"> </w:t>
      </w:r>
    </w:p>
    <w:p w14:paraId="71C7E1CC" w14:textId="77777777" w:rsidR="007F5FFD" w:rsidRPr="00D91ABA" w:rsidRDefault="000F4754">
      <w:pPr>
        <w:kinsoku w:val="0"/>
        <w:overflowPunct w:val="0"/>
        <w:autoSpaceDE w:val="0"/>
        <w:autoSpaceDN w:val="0"/>
        <w:jc w:val="right"/>
        <w:rPr>
          <w:b/>
          <w:i/>
          <w:color w:val="auto"/>
          <w:sz w:val="22"/>
          <w:szCs w:val="22"/>
          <w:lang w:val="en-GB"/>
        </w:rPr>
      </w:pPr>
      <w:r w:rsidRPr="00D91ABA">
        <w:rPr>
          <w:i/>
          <w:noProof/>
          <w:color w:val="auto"/>
          <w:lang w:val="en-GB" w:eastAsia="en-GB"/>
        </w:rPr>
        <w:drawing>
          <wp:inline distT="0" distB="0" distL="0" distR="0" wp14:anchorId="77AB2D18" wp14:editId="7CEDD6CB">
            <wp:extent cx="1874520" cy="426720"/>
            <wp:effectExtent l="0" t="0" r="0" b="0"/>
            <wp:docPr id="2" name="Imagen 1" descr="logo_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4520" cy="426720"/>
                    </a:xfrm>
                    <a:prstGeom prst="rect">
                      <a:avLst/>
                    </a:prstGeom>
                    <a:noFill/>
                    <a:ln>
                      <a:noFill/>
                    </a:ln>
                  </pic:spPr>
                </pic:pic>
              </a:graphicData>
            </a:graphic>
          </wp:inline>
        </w:drawing>
      </w:r>
      <w:r w:rsidR="007F5FFD" w:rsidRPr="00D91ABA">
        <w:rPr>
          <w:i/>
          <w:color w:val="auto"/>
          <w:lang w:val="en-GB"/>
        </w:rPr>
        <w:br/>
      </w:r>
      <w:r w:rsidR="007F5FFD" w:rsidRPr="00D91ABA">
        <w:rPr>
          <w:b/>
          <w:color w:val="auto"/>
          <w:sz w:val="22"/>
          <w:szCs w:val="22"/>
          <w:lang w:val="en-GB"/>
        </w:rPr>
        <w:t xml:space="preserve">Open </w:t>
      </w:r>
      <w:proofErr w:type="gramStart"/>
      <w:r w:rsidR="007F5FFD" w:rsidRPr="00D91ABA">
        <w:rPr>
          <w:b/>
          <w:color w:val="auto"/>
          <w:sz w:val="22"/>
          <w:szCs w:val="22"/>
          <w:lang w:val="en-GB"/>
        </w:rPr>
        <w:t>Access :</w:t>
      </w:r>
      <w:proofErr w:type="gramEnd"/>
      <w:r w:rsidR="007F5FFD" w:rsidRPr="00D91ABA">
        <w:rPr>
          <w:b/>
          <w:color w:val="auto"/>
          <w:sz w:val="22"/>
          <w:szCs w:val="22"/>
          <w:lang w:val="en-GB"/>
        </w:rPr>
        <w:t xml:space="preserve"> ISSN</w:t>
      </w:r>
      <w:r w:rsidR="002E4C6F" w:rsidRPr="00D91ABA">
        <w:rPr>
          <w:b/>
          <w:color w:val="auto"/>
          <w:sz w:val="22"/>
          <w:szCs w:val="22"/>
          <w:lang w:val="en-GB"/>
        </w:rPr>
        <w:t xml:space="preserve"> : 1848-7718</w:t>
      </w:r>
      <w:r w:rsidR="007F5FFD" w:rsidRPr="00D91ABA">
        <w:rPr>
          <w:b/>
          <w:color w:val="auto"/>
          <w:sz w:val="22"/>
          <w:szCs w:val="22"/>
          <w:lang w:val="en-GB"/>
        </w:rPr>
        <w:t xml:space="preserve"> </w:t>
      </w:r>
      <w:r w:rsidR="007F5FFD" w:rsidRPr="00D91ABA">
        <w:rPr>
          <w:b/>
          <w:color w:val="auto"/>
          <w:sz w:val="22"/>
          <w:szCs w:val="22"/>
          <w:lang w:val="en-GB"/>
        </w:rPr>
        <w:br/>
      </w:r>
      <w:hyperlink r:id="rId11" w:history="1">
        <w:r w:rsidR="007F5FFD" w:rsidRPr="00D91ABA">
          <w:rPr>
            <w:rStyle w:val="Hyperlink"/>
            <w:b/>
            <w:i/>
            <w:color w:val="auto"/>
            <w:sz w:val="18"/>
            <w:szCs w:val="22"/>
            <w:lang w:val="en-GB"/>
          </w:rPr>
          <w:t>http://www.pub.iapchem.org/ojs/index.php/admet/index</w:t>
        </w:r>
      </w:hyperlink>
      <w:r w:rsidR="007F5FFD" w:rsidRPr="00D91ABA">
        <w:rPr>
          <w:b/>
          <w:i/>
          <w:color w:val="auto"/>
          <w:sz w:val="22"/>
          <w:szCs w:val="22"/>
          <w:lang w:val="en-GB"/>
        </w:rPr>
        <w:t xml:space="preserve">  </w:t>
      </w:r>
    </w:p>
    <w:p w14:paraId="1C2E4918" w14:textId="77777777" w:rsidR="007F5FFD" w:rsidRPr="00D91ABA" w:rsidRDefault="007F5FFD">
      <w:pPr>
        <w:pStyle w:val="PaperType"/>
        <w:rPr>
          <w:color w:val="auto"/>
          <w:lang w:val="en-GB"/>
        </w:rPr>
      </w:pPr>
      <w:r w:rsidRPr="00D91ABA">
        <w:rPr>
          <w:color w:val="auto"/>
          <w:lang w:val="en-GB"/>
        </w:rPr>
        <w:t>Original scientific</w:t>
      </w:r>
      <w:r w:rsidR="00655316" w:rsidRPr="00D91ABA">
        <w:rPr>
          <w:color w:val="auto"/>
          <w:lang w:val="en-GB"/>
        </w:rPr>
        <w:t xml:space="preserve"> paper</w:t>
      </w:r>
    </w:p>
    <w:p w14:paraId="36B6EC78" w14:textId="53D8041E" w:rsidR="00655316" w:rsidRPr="00D91ABA" w:rsidRDefault="0004714A" w:rsidP="00655316">
      <w:pPr>
        <w:pStyle w:val="ADMETtitle"/>
        <w:rPr>
          <w:color w:val="auto"/>
        </w:rPr>
      </w:pPr>
      <w:r w:rsidRPr="00D91ABA">
        <w:rPr>
          <w:color w:val="auto"/>
        </w:rPr>
        <w:t>Optimization of</w:t>
      </w:r>
      <w:r w:rsidR="0075245D" w:rsidRPr="00D91ABA">
        <w:rPr>
          <w:color w:val="auto"/>
        </w:rPr>
        <w:t xml:space="preserve"> experimental conditions for</w:t>
      </w:r>
      <w:r w:rsidRPr="00D91ABA">
        <w:rPr>
          <w:color w:val="auto"/>
        </w:rPr>
        <w:t xml:space="preserve"> </w:t>
      </w:r>
      <w:r w:rsidR="000F4754" w:rsidRPr="00D91ABA">
        <w:rPr>
          <w:color w:val="auto"/>
        </w:rPr>
        <w:t>skin-PAMPA</w:t>
      </w:r>
      <w:r w:rsidRPr="00D91ABA">
        <w:rPr>
          <w:color w:val="auto"/>
        </w:rPr>
        <w:t xml:space="preserve"> measurements</w:t>
      </w:r>
    </w:p>
    <w:p w14:paraId="229A8DC3" w14:textId="77777777" w:rsidR="00655316" w:rsidRPr="00D91ABA" w:rsidRDefault="00655316" w:rsidP="00655316">
      <w:pPr>
        <w:pStyle w:val="ADMETauthors"/>
        <w:rPr>
          <w:color w:val="auto"/>
          <w:vertAlign w:val="superscript"/>
          <w:lang w:val="es-ES"/>
        </w:rPr>
      </w:pPr>
      <w:r w:rsidRPr="00D91ABA">
        <w:rPr>
          <w:color w:val="auto"/>
          <w:lang w:val="es-ES"/>
        </w:rPr>
        <w:t>Sara Soriano-Meseguer</w:t>
      </w:r>
      <w:r w:rsidRPr="00D91ABA">
        <w:rPr>
          <w:color w:val="auto"/>
          <w:vertAlign w:val="superscript"/>
          <w:lang w:val="es-ES"/>
        </w:rPr>
        <w:t>1</w:t>
      </w:r>
      <w:r w:rsidRPr="00D91ABA">
        <w:rPr>
          <w:color w:val="auto"/>
          <w:lang w:val="es-ES"/>
        </w:rPr>
        <w:t>, Elisabet Fuguet</w:t>
      </w:r>
      <w:r w:rsidRPr="00D91ABA">
        <w:rPr>
          <w:color w:val="auto"/>
          <w:vertAlign w:val="superscript"/>
          <w:lang w:val="es-ES"/>
        </w:rPr>
        <w:t>1</w:t>
      </w:r>
      <w:proofErr w:type="gramStart"/>
      <w:r w:rsidRPr="00D91ABA">
        <w:rPr>
          <w:color w:val="auto"/>
          <w:vertAlign w:val="superscript"/>
          <w:lang w:val="es-ES"/>
        </w:rPr>
        <w:t>,2</w:t>
      </w:r>
      <w:proofErr w:type="gramEnd"/>
      <w:r w:rsidRPr="00D91ABA">
        <w:rPr>
          <w:color w:val="auto"/>
          <w:lang w:val="es-ES"/>
        </w:rPr>
        <w:t>, Adriana Port</w:t>
      </w:r>
      <w:r w:rsidRPr="00D91ABA">
        <w:rPr>
          <w:color w:val="auto"/>
          <w:vertAlign w:val="superscript"/>
          <w:lang w:val="es-ES"/>
        </w:rPr>
        <w:t>3</w:t>
      </w:r>
      <w:r w:rsidRPr="00D91ABA">
        <w:rPr>
          <w:color w:val="auto"/>
          <w:lang w:val="es-ES"/>
        </w:rPr>
        <w:t>, Martí Rosés</w:t>
      </w:r>
      <w:r w:rsidRPr="00D91ABA">
        <w:rPr>
          <w:color w:val="auto"/>
          <w:vertAlign w:val="superscript"/>
          <w:lang w:val="es-ES"/>
        </w:rPr>
        <w:t>1,*</w:t>
      </w:r>
    </w:p>
    <w:p w14:paraId="1E3D4756" w14:textId="77777777" w:rsidR="00655316" w:rsidRPr="00D91ABA" w:rsidRDefault="00655316" w:rsidP="00655316">
      <w:pPr>
        <w:pStyle w:val="ADMETaffiilationfirst"/>
        <w:rPr>
          <w:color w:val="auto"/>
          <w:lang w:val="es-ES"/>
        </w:rPr>
      </w:pPr>
      <w:r w:rsidRPr="00D91ABA">
        <w:rPr>
          <w:color w:val="auto"/>
          <w:vertAlign w:val="superscript"/>
          <w:lang w:val="es-ES"/>
        </w:rPr>
        <w:t>1</w:t>
      </w:r>
      <w:r w:rsidRPr="00D91ABA">
        <w:rPr>
          <w:color w:val="auto"/>
          <w:lang w:val="es-ES"/>
        </w:rPr>
        <w:t xml:space="preserve"> </w:t>
      </w:r>
      <w:proofErr w:type="spellStart"/>
      <w:r w:rsidRPr="00D91ABA">
        <w:rPr>
          <w:color w:val="auto"/>
          <w:lang w:val="es-ES"/>
        </w:rPr>
        <w:t>Departament</w:t>
      </w:r>
      <w:proofErr w:type="spellEnd"/>
      <w:r w:rsidRPr="00D91ABA">
        <w:rPr>
          <w:color w:val="auto"/>
          <w:lang w:val="es-ES"/>
        </w:rPr>
        <w:t xml:space="preserve"> de Química Analítica i </w:t>
      </w:r>
      <w:proofErr w:type="spellStart"/>
      <w:r w:rsidRPr="00D91ABA">
        <w:rPr>
          <w:color w:val="auto"/>
          <w:lang w:val="es-ES"/>
        </w:rPr>
        <w:t>Institut</w:t>
      </w:r>
      <w:proofErr w:type="spellEnd"/>
      <w:r w:rsidRPr="00D91ABA">
        <w:rPr>
          <w:color w:val="auto"/>
          <w:lang w:val="es-ES"/>
        </w:rPr>
        <w:t xml:space="preserve"> de Biomedicina, </w:t>
      </w:r>
      <w:proofErr w:type="spellStart"/>
      <w:r w:rsidRPr="00D91ABA">
        <w:rPr>
          <w:color w:val="auto"/>
          <w:lang w:val="es-ES"/>
        </w:rPr>
        <w:t>Universitat</w:t>
      </w:r>
      <w:proofErr w:type="spellEnd"/>
      <w:r w:rsidRPr="00D91ABA">
        <w:rPr>
          <w:color w:val="auto"/>
          <w:lang w:val="es-ES"/>
        </w:rPr>
        <w:t xml:space="preserve"> de Barcelona, Martí i </w:t>
      </w:r>
      <w:proofErr w:type="spellStart"/>
      <w:r w:rsidRPr="00D91ABA">
        <w:rPr>
          <w:color w:val="auto"/>
          <w:lang w:val="es-ES"/>
        </w:rPr>
        <w:t>Franquès</w:t>
      </w:r>
      <w:proofErr w:type="spellEnd"/>
      <w:r w:rsidRPr="00D91ABA">
        <w:rPr>
          <w:color w:val="auto"/>
          <w:lang w:val="es-ES"/>
        </w:rPr>
        <w:t xml:space="preserve"> 1-11, 08028 Barcelona, </w:t>
      </w:r>
      <w:proofErr w:type="spellStart"/>
      <w:r w:rsidRPr="00D91ABA">
        <w:rPr>
          <w:color w:val="auto"/>
          <w:lang w:val="es-ES"/>
        </w:rPr>
        <w:t>Spain</w:t>
      </w:r>
      <w:proofErr w:type="spellEnd"/>
    </w:p>
    <w:p w14:paraId="2FE66B63" w14:textId="77777777" w:rsidR="00655316" w:rsidRPr="00D91ABA" w:rsidRDefault="00655316" w:rsidP="00D91ABA">
      <w:pPr>
        <w:pStyle w:val="ADMETaffiliationrest"/>
        <w:rPr>
          <w:lang w:val="es-ES"/>
        </w:rPr>
      </w:pPr>
      <w:r w:rsidRPr="00D91ABA">
        <w:rPr>
          <w:vertAlign w:val="superscript"/>
          <w:lang w:val="es-ES"/>
        </w:rPr>
        <w:t>2</w:t>
      </w:r>
      <w:r w:rsidRPr="00D91ABA">
        <w:rPr>
          <w:lang w:val="es-ES"/>
        </w:rPr>
        <w:t xml:space="preserve"> Serra </w:t>
      </w:r>
      <w:proofErr w:type="spellStart"/>
      <w:r w:rsidRPr="00D91ABA">
        <w:rPr>
          <w:lang w:val="es-ES"/>
        </w:rPr>
        <w:t>Húnter</w:t>
      </w:r>
      <w:proofErr w:type="spellEnd"/>
      <w:r w:rsidRPr="00D91ABA">
        <w:rPr>
          <w:lang w:val="es-ES"/>
        </w:rPr>
        <w:t xml:space="preserve"> </w:t>
      </w:r>
      <w:proofErr w:type="spellStart"/>
      <w:r w:rsidRPr="00D91ABA">
        <w:rPr>
          <w:lang w:val="es-ES"/>
        </w:rPr>
        <w:t>Programme</w:t>
      </w:r>
      <w:proofErr w:type="spellEnd"/>
      <w:r w:rsidRPr="00D91ABA">
        <w:rPr>
          <w:lang w:val="es-ES"/>
        </w:rPr>
        <w:t xml:space="preserve">, Generalitat de Catalunya, 08002 Barcelona, </w:t>
      </w:r>
      <w:proofErr w:type="spellStart"/>
      <w:r w:rsidRPr="00D91ABA">
        <w:rPr>
          <w:lang w:val="es-ES"/>
        </w:rPr>
        <w:t>Spain</w:t>
      </w:r>
      <w:proofErr w:type="spellEnd"/>
    </w:p>
    <w:p w14:paraId="35B270D5" w14:textId="77777777" w:rsidR="00655316" w:rsidRPr="00D91ABA" w:rsidRDefault="00655316" w:rsidP="00D91ABA">
      <w:pPr>
        <w:pStyle w:val="ADMETaffiliationrest"/>
        <w:rPr>
          <w:lang w:val="es-ES"/>
        </w:rPr>
      </w:pPr>
      <w:r w:rsidRPr="00D91ABA">
        <w:rPr>
          <w:vertAlign w:val="superscript"/>
          <w:lang w:val="es-ES"/>
        </w:rPr>
        <w:t>3</w:t>
      </w:r>
      <w:r w:rsidRPr="00D91ABA">
        <w:rPr>
          <w:lang w:val="es-ES"/>
        </w:rPr>
        <w:t xml:space="preserve"> ESTEVE</w:t>
      </w:r>
      <w:r w:rsidR="00F5607C" w:rsidRPr="00D91ABA">
        <w:rPr>
          <w:lang w:val="es-ES"/>
        </w:rPr>
        <w:t xml:space="preserve"> </w:t>
      </w:r>
      <w:proofErr w:type="spellStart"/>
      <w:r w:rsidR="00F5607C" w:rsidRPr="00D91ABA">
        <w:rPr>
          <w:lang w:val="es-ES"/>
        </w:rPr>
        <w:t>Pharmaceuticals</w:t>
      </w:r>
      <w:proofErr w:type="spellEnd"/>
      <w:r w:rsidR="00F5607C" w:rsidRPr="00D91ABA">
        <w:rPr>
          <w:lang w:val="es-ES"/>
        </w:rPr>
        <w:t xml:space="preserve">, </w:t>
      </w:r>
      <w:proofErr w:type="spellStart"/>
      <w:r w:rsidR="00F5607C" w:rsidRPr="00D91ABA">
        <w:rPr>
          <w:lang w:val="es-ES"/>
        </w:rPr>
        <w:t>Drug</w:t>
      </w:r>
      <w:proofErr w:type="spellEnd"/>
      <w:r w:rsidR="00F5607C" w:rsidRPr="00D91ABA">
        <w:rPr>
          <w:lang w:val="es-ES"/>
        </w:rPr>
        <w:t xml:space="preserve"> Discovery and </w:t>
      </w:r>
      <w:proofErr w:type="spellStart"/>
      <w:r w:rsidR="00F5607C" w:rsidRPr="00D91ABA">
        <w:rPr>
          <w:lang w:val="es-ES"/>
        </w:rPr>
        <w:t>Preclinical</w:t>
      </w:r>
      <w:proofErr w:type="spellEnd"/>
      <w:r w:rsidR="00F5607C" w:rsidRPr="00D91ABA">
        <w:rPr>
          <w:lang w:val="es-ES"/>
        </w:rPr>
        <w:t xml:space="preserve"> </w:t>
      </w:r>
      <w:proofErr w:type="spellStart"/>
      <w:r w:rsidR="00F5607C" w:rsidRPr="00D91ABA">
        <w:rPr>
          <w:lang w:val="es-ES"/>
        </w:rPr>
        <w:t>Development</w:t>
      </w:r>
      <w:proofErr w:type="spellEnd"/>
      <w:r w:rsidRPr="00D91ABA">
        <w:rPr>
          <w:lang w:val="es-ES"/>
        </w:rPr>
        <w:t xml:space="preserve">, </w:t>
      </w:r>
      <w:proofErr w:type="spellStart"/>
      <w:r w:rsidRPr="00D91ABA">
        <w:rPr>
          <w:lang w:val="es-ES"/>
        </w:rPr>
        <w:t>Parc</w:t>
      </w:r>
      <w:proofErr w:type="spellEnd"/>
      <w:r w:rsidRPr="00D91ABA">
        <w:rPr>
          <w:lang w:val="es-ES"/>
        </w:rPr>
        <w:t xml:space="preserve"> </w:t>
      </w:r>
      <w:proofErr w:type="spellStart"/>
      <w:r w:rsidRPr="00D91ABA">
        <w:rPr>
          <w:lang w:val="es-ES"/>
        </w:rPr>
        <w:t>Científic</w:t>
      </w:r>
      <w:proofErr w:type="spellEnd"/>
      <w:r w:rsidRPr="00D91ABA">
        <w:rPr>
          <w:lang w:val="es-ES"/>
        </w:rPr>
        <w:t xml:space="preserve"> de Barcelona, </w:t>
      </w:r>
      <w:proofErr w:type="spellStart"/>
      <w:r w:rsidRPr="00D91ABA">
        <w:rPr>
          <w:lang w:val="es-ES"/>
        </w:rPr>
        <w:t>Baldiri</w:t>
      </w:r>
      <w:proofErr w:type="spellEnd"/>
      <w:r w:rsidRPr="00D91ABA">
        <w:rPr>
          <w:lang w:val="es-ES"/>
        </w:rPr>
        <w:t xml:space="preserve"> </w:t>
      </w:r>
      <w:proofErr w:type="spellStart"/>
      <w:r w:rsidRPr="00D91ABA">
        <w:rPr>
          <w:lang w:val="es-ES"/>
        </w:rPr>
        <w:t>Reixac</w:t>
      </w:r>
      <w:proofErr w:type="spellEnd"/>
      <w:r w:rsidRPr="00D91ABA">
        <w:rPr>
          <w:lang w:val="es-ES"/>
        </w:rPr>
        <w:t xml:space="preserve"> 4-8, 08028 Barcelona, </w:t>
      </w:r>
      <w:proofErr w:type="spellStart"/>
      <w:r w:rsidRPr="00D91ABA">
        <w:rPr>
          <w:lang w:val="es-ES"/>
        </w:rPr>
        <w:t>Spain</w:t>
      </w:r>
      <w:proofErr w:type="spellEnd"/>
    </w:p>
    <w:p w14:paraId="199F7A3E" w14:textId="24AF1627" w:rsidR="007F5FFD" w:rsidRPr="00D91ABA" w:rsidRDefault="007F5FFD" w:rsidP="00D91ABA">
      <w:pPr>
        <w:pStyle w:val="ADMETcorrespondingauthor"/>
        <w:rPr>
          <w:i/>
          <w:lang w:val="es-ES"/>
        </w:rPr>
      </w:pPr>
      <w:r w:rsidRPr="00D91ABA">
        <w:rPr>
          <w:lang w:val="es-ES"/>
        </w:rPr>
        <w:t>*</w:t>
      </w:r>
      <w:proofErr w:type="spellStart"/>
      <w:r w:rsidRPr="00D91ABA">
        <w:rPr>
          <w:lang w:val="es-ES"/>
        </w:rPr>
        <w:t>Corresponding</w:t>
      </w:r>
      <w:proofErr w:type="spellEnd"/>
      <w:r w:rsidRPr="00D91ABA">
        <w:rPr>
          <w:lang w:val="es-ES"/>
        </w:rPr>
        <w:t xml:space="preserve"> </w:t>
      </w:r>
      <w:proofErr w:type="spellStart"/>
      <w:r w:rsidRPr="00D91ABA">
        <w:rPr>
          <w:lang w:val="es-ES"/>
        </w:rPr>
        <w:t>Author</w:t>
      </w:r>
      <w:proofErr w:type="spellEnd"/>
      <w:r w:rsidRPr="00D91ABA">
        <w:rPr>
          <w:lang w:val="es-ES"/>
        </w:rPr>
        <w:t xml:space="preserve">: </w:t>
      </w:r>
      <w:r w:rsidR="00655316" w:rsidRPr="00D91ABA">
        <w:rPr>
          <w:lang w:val="es-ES"/>
        </w:rPr>
        <w:t xml:space="preserve">E-mail: </w:t>
      </w:r>
      <w:hyperlink r:id="rId12" w:history="1">
        <w:r w:rsidR="00D91ABA" w:rsidRPr="004E5EE5">
          <w:rPr>
            <w:rStyle w:val="Hyperlink"/>
            <w:lang w:val="es-ES"/>
          </w:rPr>
          <w:t>marti.roses@ub.edu</w:t>
        </w:r>
      </w:hyperlink>
      <w:r w:rsidR="00655316" w:rsidRPr="00D91ABA">
        <w:rPr>
          <w:lang w:val="es-ES"/>
        </w:rPr>
        <w:t>; Tel.: +34-934039275; Fax: +34-934021233</w:t>
      </w:r>
      <w:r w:rsidR="007D7736">
        <w:rPr>
          <w:lang w:val="es-ES"/>
        </w:rPr>
        <w:t xml:space="preserve">, Editorial </w:t>
      </w:r>
      <w:proofErr w:type="spellStart"/>
      <w:r w:rsidR="007D7736">
        <w:rPr>
          <w:lang w:val="es-ES"/>
        </w:rPr>
        <w:t>Board</w:t>
      </w:r>
      <w:proofErr w:type="spellEnd"/>
      <w:r w:rsidR="007D7736">
        <w:rPr>
          <w:lang w:val="es-ES"/>
        </w:rPr>
        <w:t xml:space="preserve"> </w:t>
      </w:r>
      <w:proofErr w:type="spellStart"/>
      <w:r w:rsidR="007D7736">
        <w:rPr>
          <w:lang w:val="es-ES"/>
        </w:rPr>
        <w:t>member</w:t>
      </w:r>
      <w:proofErr w:type="spellEnd"/>
      <w:r w:rsidRPr="00D91ABA">
        <w:rPr>
          <w:lang w:val="es-ES"/>
        </w:rPr>
        <w:t xml:space="preserve"> </w:t>
      </w:r>
    </w:p>
    <w:p w14:paraId="16214E5B" w14:textId="70EF4632" w:rsidR="007F5FFD" w:rsidRPr="00D91ABA" w:rsidRDefault="007F5FFD" w:rsidP="00767B1C">
      <w:pPr>
        <w:pStyle w:val="ADMETdates"/>
        <w:rPr>
          <w:color w:val="auto"/>
        </w:rPr>
      </w:pPr>
      <w:r w:rsidRPr="00D91ABA">
        <w:rPr>
          <w:color w:val="auto"/>
        </w:rPr>
        <w:t xml:space="preserve">Received: </w:t>
      </w:r>
      <w:r w:rsidR="00D91ABA">
        <w:rPr>
          <w:color w:val="auto"/>
        </w:rPr>
        <w:t>November</w:t>
      </w:r>
      <w:r w:rsidRPr="00D91ABA">
        <w:rPr>
          <w:color w:val="auto"/>
        </w:rPr>
        <w:t xml:space="preserve"> </w:t>
      </w:r>
      <w:r w:rsidR="00D91ABA">
        <w:rPr>
          <w:color w:val="auto"/>
        </w:rPr>
        <w:t>29</w:t>
      </w:r>
      <w:r w:rsidRPr="00D91ABA">
        <w:rPr>
          <w:color w:val="auto"/>
        </w:rPr>
        <w:t xml:space="preserve">, </w:t>
      </w:r>
      <w:r w:rsidR="00D91ABA">
        <w:rPr>
          <w:color w:val="auto"/>
        </w:rPr>
        <w:t>2019</w:t>
      </w:r>
      <w:r w:rsidRPr="00D91ABA">
        <w:rPr>
          <w:color w:val="auto"/>
        </w:rPr>
        <w:t xml:space="preserve">; </w:t>
      </w:r>
      <w:proofErr w:type="gramStart"/>
      <w:r w:rsidRPr="00D91ABA">
        <w:rPr>
          <w:color w:val="auto"/>
        </w:rPr>
        <w:t>Revised</w:t>
      </w:r>
      <w:proofErr w:type="gramEnd"/>
      <w:r w:rsidRPr="00D91ABA">
        <w:rPr>
          <w:color w:val="auto"/>
        </w:rPr>
        <w:t xml:space="preserve">: </w:t>
      </w:r>
      <w:r w:rsidR="00D91ABA">
        <w:rPr>
          <w:color w:val="auto"/>
        </w:rPr>
        <w:t>February</w:t>
      </w:r>
      <w:r w:rsidRPr="00D91ABA">
        <w:rPr>
          <w:color w:val="auto"/>
        </w:rPr>
        <w:t xml:space="preserve"> </w:t>
      </w:r>
      <w:r w:rsidR="00D91ABA">
        <w:rPr>
          <w:color w:val="auto"/>
        </w:rPr>
        <w:t>15</w:t>
      </w:r>
      <w:r w:rsidRPr="00D91ABA">
        <w:rPr>
          <w:color w:val="auto"/>
        </w:rPr>
        <w:t xml:space="preserve">, </w:t>
      </w:r>
      <w:r w:rsidR="00D91ABA">
        <w:rPr>
          <w:color w:val="auto"/>
        </w:rPr>
        <w:t>2020</w:t>
      </w:r>
      <w:r w:rsidRPr="00D91ABA">
        <w:rPr>
          <w:color w:val="auto"/>
        </w:rPr>
        <w:t xml:space="preserve">; </w:t>
      </w:r>
      <w:r w:rsidR="00307302">
        <w:rPr>
          <w:color w:val="auto"/>
        </w:rPr>
        <w:t>Available online</w:t>
      </w:r>
      <w:r w:rsidRPr="00D91ABA">
        <w:rPr>
          <w:color w:val="auto"/>
        </w:rPr>
        <w:t xml:space="preserve">: </w:t>
      </w:r>
      <w:r w:rsidR="00307302">
        <w:rPr>
          <w:color w:val="auto"/>
        </w:rPr>
        <w:t>March 04</w:t>
      </w:r>
      <w:r w:rsidRPr="00D91ABA">
        <w:rPr>
          <w:color w:val="auto"/>
        </w:rPr>
        <w:t xml:space="preserve">, </w:t>
      </w:r>
      <w:r w:rsidR="00307302">
        <w:rPr>
          <w:color w:val="auto"/>
        </w:rPr>
        <w:t>2020</w:t>
      </w:r>
      <w:r w:rsidRPr="00D91ABA">
        <w:rPr>
          <w:color w:val="auto"/>
        </w:rPr>
        <w:t xml:space="preserve"> </w:t>
      </w:r>
    </w:p>
    <w:p w14:paraId="16C7A485" w14:textId="77777777" w:rsidR="007F5FFD" w:rsidRPr="00D91ABA" w:rsidRDefault="007F5FFD">
      <w:pPr>
        <w:pStyle w:val="PaperDates"/>
        <w:rPr>
          <w:color w:val="auto"/>
          <w:lang w:val="en-GB"/>
        </w:rPr>
      </w:pPr>
    </w:p>
    <w:p w14:paraId="03FF4349" w14:textId="77777777" w:rsidR="007F5FFD" w:rsidRPr="00D91ABA" w:rsidRDefault="007F5FFD" w:rsidP="00767B1C">
      <w:pPr>
        <w:pStyle w:val="ADMETabstractheading"/>
        <w:rPr>
          <w:color w:val="auto"/>
        </w:rPr>
      </w:pPr>
      <w:r w:rsidRPr="00D91ABA">
        <w:rPr>
          <w:color w:val="auto"/>
        </w:rPr>
        <w:t>Abstract</w:t>
      </w:r>
    </w:p>
    <w:p w14:paraId="72C4E723" w14:textId="77777777" w:rsidR="002A313C" w:rsidRDefault="00A17459" w:rsidP="00FA20E5">
      <w:pPr>
        <w:pStyle w:val="ADMETabstracttext"/>
        <w:rPr>
          <w:i w:val="0"/>
          <w:color w:val="auto"/>
        </w:rPr>
      </w:pPr>
      <w:bookmarkStart w:id="0" w:name="_Hlk25679104"/>
      <w:r w:rsidRPr="000854D6">
        <w:rPr>
          <w:i w:val="0"/>
          <w:color w:val="auto"/>
        </w:rPr>
        <w:t xml:space="preserve">In recent years, the </w:t>
      </w:r>
      <w:r w:rsidR="004B5568" w:rsidRPr="000854D6">
        <w:rPr>
          <w:i w:val="0"/>
          <w:color w:val="auto"/>
        </w:rPr>
        <w:t>p</w:t>
      </w:r>
      <w:r w:rsidRPr="000854D6">
        <w:rPr>
          <w:i w:val="0"/>
          <w:color w:val="auto"/>
        </w:rPr>
        <w:t xml:space="preserve">arallel </w:t>
      </w:r>
      <w:r w:rsidR="004B5568" w:rsidRPr="000854D6">
        <w:rPr>
          <w:i w:val="0"/>
          <w:color w:val="auto"/>
        </w:rPr>
        <w:t>a</w:t>
      </w:r>
      <w:r w:rsidRPr="000854D6">
        <w:rPr>
          <w:i w:val="0"/>
          <w:color w:val="auto"/>
        </w:rPr>
        <w:t xml:space="preserve">rtificial </w:t>
      </w:r>
      <w:r w:rsidR="004B5568" w:rsidRPr="000854D6">
        <w:rPr>
          <w:i w:val="0"/>
          <w:color w:val="auto"/>
        </w:rPr>
        <w:t>m</w:t>
      </w:r>
      <w:r w:rsidRPr="000854D6">
        <w:rPr>
          <w:i w:val="0"/>
          <w:color w:val="auto"/>
        </w:rPr>
        <w:t xml:space="preserve">embrane </w:t>
      </w:r>
      <w:r w:rsidR="004B5568" w:rsidRPr="000854D6">
        <w:rPr>
          <w:i w:val="0"/>
          <w:color w:val="auto"/>
        </w:rPr>
        <w:t>p</w:t>
      </w:r>
      <w:r w:rsidRPr="000854D6">
        <w:rPr>
          <w:i w:val="0"/>
          <w:color w:val="auto"/>
        </w:rPr>
        <w:t xml:space="preserve">ermeability </w:t>
      </w:r>
      <w:r w:rsidR="004B5568" w:rsidRPr="000854D6">
        <w:rPr>
          <w:i w:val="0"/>
          <w:color w:val="auto"/>
        </w:rPr>
        <w:t>a</w:t>
      </w:r>
      <w:r w:rsidRPr="000854D6">
        <w:rPr>
          <w:i w:val="0"/>
          <w:color w:val="auto"/>
        </w:rPr>
        <w:t xml:space="preserve">ssay (PAMPA) has been extended for prediction of skin permeation by developing an artificial membrane which </w:t>
      </w:r>
      <w:r w:rsidR="00B036C1" w:rsidRPr="000854D6">
        <w:rPr>
          <w:i w:val="0"/>
          <w:color w:val="auto"/>
        </w:rPr>
        <w:t>mimics</w:t>
      </w:r>
      <w:r w:rsidRPr="000854D6">
        <w:rPr>
          <w:i w:val="0"/>
          <w:color w:val="auto"/>
        </w:rPr>
        <w:t xml:space="preserve"> the stratum </w:t>
      </w:r>
      <w:proofErr w:type="spellStart"/>
      <w:r w:rsidRPr="000854D6">
        <w:rPr>
          <w:i w:val="0"/>
          <w:color w:val="auto"/>
        </w:rPr>
        <w:t>corneum</w:t>
      </w:r>
      <w:proofErr w:type="spellEnd"/>
      <w:r w:rsidRPr="000854D6">
        <w:rPr>
          <w:i w:val="0"/>
          <w:color w:val="auto"/>
        </w:rPr>
        <w:t xml:space="preserve"> structure, skin-PAMPA. In the present work, t</w:t>
      </w:r>
      <w:r w:rsidR="00CB4F73" w:rsidRPr="000854D6">
        <w:rPr>
          <w:i w:val="0"/>
          <w:color w:val="auto"/>
        </w:rPr>
        <w:t xml:space="preserve">he different parameters affecting </w:t>
      </w:r>
      <w:r w:rsidR="003B0BEA" w:rsidRPr="000854D6">
        <w:rPr>
          <w:i w:val="0"/>
          <w:color w:val="auto"/>
        </w:rPr>
        <w:t>skin-</w:t>
      </w:r>
      <w:r w:rsidR="00CB4F73" w:rsidRPr="000854D6">
        <w:rPr>
          <w:i w:val="0"/>
          <w:color w:val="auto"/>
        </w:rPr>
        <w:t>PAMPA permeability, such as incubation</w:t>
      </w:r>
      <w:r w:rsidR="00C04D7F" w:rsidRPr="000854D6">
        <w:rPr>
          <w:i w:val="0"/>
          <w:color w:val="auto"/>
        </w:rPr>
        <w:t xml:space="preserve"> time</w:t>
      </w:r>
      <w:r w:rsidR="00CB4F73" w:rsidRPr="000854D6">
        <w:rPr>
          <w:i w:val="0"/>
          <w:color w:val="auto"/>
        </w:rPr>
        <w:t xml:space="preserve"> </w:t>
      </w:r>
      <w:r w:rsidR="00983B37" w:rsidRPr="000854D6">
        <w:rPr>
          <w:i w:val="0"/>
          <w:color w:val="auto"/>
        </w:rPr>
        <w:t>and stirring</w:t>
      </w:r>
      <w:r w:rsidR="00073A7E" w:rsidRPr="000854D6">
        <w:rPr>
          <w:i w:val="0"/>
          <w:color w:val="auto"/>
        </w:rPr>
        <w:t xml:space="preserve">, have been </w:t>
      </w:r>
      <w:r w:rsidR="00CB4F73" w:rsidRPr="000854D6">
        <w:rPr>
          <w:i w:val="0"/>
          <w:color w:val="auto"/>
        </w:rPr>
        <w:t xml:space="preserve">studied </w:t>
      </w:r>
      <w:r w:rsidR="00073A7E" w:rsidRPr="000854D6">
        <w:rPr>
          <w:i w:val="0"/>
          <w:color w:val="auto"/>
        </w:rPr>
        <w:t>to establish</w:t>
      </w:r>
      <w:r w:rsidRPr="000854D6">
        <w:rPr>
          <w:i w:val="0"/>
          <w:color w:val="auto"/>
        </w:rPr>
        <w:t xml:space="preserve"> </w:t>
      </w:r>
      <w:r w:rsidR="00073A7E" w:rsidRPr="000854D6">
        <w:rPr>
          <w:i w:val="0"/>
          <w:color w:val="auto"/>
        </w:rPr>
        <w:t xml:space="preserve">ideal assay conditions to generate quality data for </w:t>
      </w:r>
      <w:r w:rsidR="004B5568" w:rsidRPr="000854D6">
        <w:rPr>
          <w:i w:val="0"/>
          <w:color w:val="auto"/>
        </w:rPr>
        <w:t xml:space="preserve">a </w:t>
      </w:r>
      <w:r w:rsidR="00073A7E" w:rsidRPr="000854D6">
        <w:rPr>
          <w:i w:val="0"/>
          <w:color w:val="auto"/>
        </w:rPr>
        <w:t xml:space="preserve">screening of </w:t>
      </w:r>
      <w:r w:rsidRPr="000854D6">
        <w:rPr>
          <w:i w:val="0"/>
          <w:color w:val="auto"/>
        </w:rPr>
        <w:t xml:space="preserve">active </w:t>
      </w:r>
      <w:r w:rsidR="00983B37" w:rsidRPr="000854D6">
        <w:rPr>
          <w:i w:val="0"/>
          <w:color w:val="auto"/>
        </w:rPr>
        <w:t xml:space="preserve">pharmaceutical </w:t>
      </w:r>
      <w:r w:rsidRPr="000854D6">
        <w:rPr>
          <w:i w:val="0"/>
          <w:color w:val="auto"/>
        </w:rPr>
        <w:t>ingredients (API)</w:t>
      </w:r>
      <w:r w:rsidR="00073A7E" w:rsidRPr="000854D6">
        <w:rPr>
          <w:i w:val="0"/>
          <w:color w:val="auto"/>
        </w:rPr>
        <w:t xml:space="preserve"> in early stage drug discovery. Another important parameter is membrane retention, which </w:t>
      </w:r>
      <w:r w:rsidR="003E1A67" w:rsidRPr="000854D6">
        <w:rPr>
          <w:i w:val="0"/>
          <w:color w:val="auto"/>
        </w:rPr>
        <w:t>show</w:t>
      </w:r>
      <w:r w:rsidR="004B5568" w:rsidRPr="000854D6">
        <w:rPr>
          <w:i w:val="0"/>
          <w:color w:val="auto"/>
        </w:rPr>
        <w:t>s</w:t>
      </w:r>
      <w:r w:rsidR="003E1A67" w:rsidRPr="000854D6">
        <w:rPr>
          <w:i w:val="0"/>
          <w:color w:val="auto"/>
        </w:rPr>
        <w:t xml:space="preserve"> dependence </w:t>
      </w:r>
      <w:r w:rsidR="004B5568" w:rsidRPr="000854D6">
        <w:rPr>
          <w:i w:val="0"/>
          <w:color w:val="auto"/>
        </w:rPr>
        <w:t>on</w:t>
      </w:r>
      <w:r w:rsidR="003E1A67" w:rsidRPr="000854D6">
        <w:rPr>
          <w:i w:val="0"/>
          <w:color w:val="auto"/>
        </w:rPr>
        <w:t xml:space="preserve"> lipophilicity when compounds are in their neutral form.</w:t>
      </w:r>
      <w:r w:rsidR="00073A7E" w:rsidRPr="000854D6">
        <w:rPr>
          <w:i w:val="0"/>
          <w:color w:val="auto"/>
        </w:rPr>
        <w:t xml:space="preserve"> </w:t>
      </w:r>
      <w:r w:rsidR="00A95D21" w:rsidRPr="000854D6">
        <w:rPr>
          <w:i w:val="0"/>
          <w:color w:val="auto"/>
        </w:rPr>
        <w:t>Furthermore, the</w:t>
      </w:r>
      <w:r w:rsidR="003E1A67" w:rsidRPr="000854D6">
        <w:rPr>
          <w:i w:val="0"/>
          <w:color w:val="auto"/>
        </w:rPr>
        <w:t xml:space="preserve"> stability</w:t>
      </w:r>
      <w:r w:rsidR="00A95D21" w:rsidRPr="000854D6">
        <w:rPr>
          <w:i w:val="0"/>
          <w:color w:val="auto"/>
        </w:rPr>
        <w:t xml:space="preserve"> of the membrane has been </w:t>
      </w:r>
      <w:r w:rsidR="00FA20E5" w:rsidRPr="000854D6">
        <w:rPr>
          <w:i w:val="0"/>
          <w:color w:val="auto"/>
        </w:rPr>
        <w:t>investigated</w:t>
      </w:r>
      <w:r w:rsidR="00A95D21" w:rsidRPr="000854D6">
        <w:rPr>
          <w:i w:val="0"/>
          <w:color w:val="auto"/>
        </w:rPr>
        <w:t xml:space="preserve"> </w:t>
      </w:r>
      <w:r w:rsidR="00FA20E5" w:rsidRPr="000854D6">
        <w:rPr>
          <w:i w:val="0"/>
          <w:color w:val="auto"/>
          <w:lang w:val="en-GB"/>
        </w:rPr>
        <w:t xml:space="preserve">at different pH values, especially at basic </w:t>
      </w:r>
      <w:proofErr w:type="spellStart"/>
      <w:proofErr w:type="gramStart"/>
      <w:r w:rsidR="00FA20E5" w:rsidRPr="000854D6">
        <w:rPr>
          <w:i w:val="0"/>
          <w:color w:val="auto"/>
          <w:lang w:val="en-GB"/>
        </w:rPr>
        <w:t>pHs</w:t>
      </w:r>
      <w:proofErr w:type="spellEnd"/>
      <w:proofErr w:type="gramEnd"/>
      <w:r w:rsidR="00FA20E5" w:rsidRPr="000854D6">
        <w:rPr>
          <w:i w:val="0"/>
          <w:color w:val="auto"/>
          <w:lang w:val="en-GB"/>
        </w:rPr>
        <w:t xml:space="preserve">. </w:t>
      </w:r>
      <w:r w:rsidR="00A95D21" w:rsidRPr="000854D6">
        <w:rPr>
          <w:i w:val="0"/>
          <w:color w:val="auto"/>
        </w:rPr>
        <w:t>Finally,</w:t>
      </w:r>
      <w:r w:rsidR="0000756F" w:rsidRPr="000854D6">
        <w:rPr>
          <w:i w:val="0"/>
          <w:color w:val="auto"/>
        </w:rPr>
        <w:t xml:space="preserve"> </w:t>
      </w:r>
      <w:r w:rsidR="004B5568" w:rsidRPr="000854D6">
        <w:rPr>
          <w:i w:val="0"/>
          <w:color w:val="auto"/>
        </w:rPr>
        <w:t xml:space="preserve">a </w:t>
      </w:r>
      <w:r w:rsidR="00394779" w:rsidRPr="000854D6">
        <w:rPr>
          <w:i w:val="0"/>
          <w:color w:val="auto"/>
        </w:rPr>
        <w:t xml:space="preserve">good </w:t>
      </w:r>
      <w:r w:rsidRPr="000854D6">
        <w:rPr>
          <w:i w:val="0"/>
          <w:color w:val="auto"/>
        </w:rPr>
        <w:t>correlation between</w:t>
      </w:r>
      <w:r w:rsidR="0000756F" w:rsidRPr="000854D6">
        <w:rPr>
          <w:i w:val="0"/>
          <w:color w:val="auto"/>
        </w:rPr>
        <w:t xml:space="preserve"> human skin permeability and </w:t>
      </w:r>
      <w:r w:rsidR="003B0BEA" w:rsidRPr="000854D6">
        <w:rPr>
          <w:i w:val="0"/>
          <w:color w:val="auto"/>
        </w:rPr>
        <w:t>skin-</w:t>
      </w:r>
      <w:r w:rsidR="0000756F" w:rsidRPr="000854D6">
        <w:rPr>
          <w:i w:val="0"/>
          <w:color w:val="auto"/>
        </w:rPr>
        <w:t>PAMPA permeability</w:t>
      </w:r>
      <w:r w:rsidR="00DB25B4" w:rsidRPr="000854D6">
        <w:rPr>
          <w:i w:val="0"/>
          <w:color w:val="auto"/>
        </w:rPr>
        <w:t>,</w:t>
      </w:r>
      <w:r w:rsidR="0000756F" w:rsidRPr="000854D6">
        <w:rPr>
          <w:i w:val="0"/>
          <w:color w:val="auto"/>
        </w:rPr>
        <w:t xml:space="preserve"> </w:t>
      </w:r>
      <w:r w:rsidR="00A95D21" w:rsidRPr="000854D6">
        <w:rPr>
          <w:i w:val="0"/>
          <w:color w:val="auto"/>
        </w:rPr>
        <w:t>with a large dataset (n</w:t>
      </w:r>
      <w:r w:rsidR="00C04D7F" w:rsidRPr="000854D6">
        <w:rPr>
          <w:i w:val="0"/>
          <w:color w:val="auto"/>
        </w:rPr>
        <w:t xml:space="preserve"> </w:t>
      </w:r>
      <w:r w:rsidR="00A95D21" w:rsidRPr="000854D6">
        <w:rPr>
          <w:i w:val="0"/>
          <w:color w:val="auto"/>
        </w:rPr>
        <w:t>=</w:t>
      </w:r>
      <w:r w:rsidR="00C04D7F" w:rsidRPr="000854D6">
        <w:rPr>
          <w:i w:val="0"/>
          <w:color w:val="auto"/>
        </w:rPr>
        <w:t xml:space="preserve"> </w:t>
      </w:r>
      <w:r w:rsidR="00A95D21" w:rsidRPr="000854D6">
        <w:rPr>
          <w:i w:val="0"/>
          <w:color w:val="auto"/>
        </w:rPr>
        <w:t>46)</w:t>
      </w:r>
      <w:r w:rsidR="00DB25B4" w:rsidRPr="000854D6">
        <w:rPr>
          <w:i w:val="0"/>
          <w:color w:val="auto"/>
        </w:rPr>
        <w:t>,</w:t>
      </w:r>
      <w:r w:rsidR="00A95D21" w:rsidRPr="000854D6">
        <w:rPr>
          <w:i w:val="0"/>
          <w:color w:val="auto"/>
        </w:rPr>
        <w:t xml:space="preserve"> has been established</w:t>
      </w:r>
      <w:r w:rsidR="00B036C1" w:rsidRPr="000854D6">
        <w:rPr>
          <w:i w:val="0"/>
          <w:color w:val="auto"/>
        </w:rPr>
        <w:t xml:space="preserve">. </w:t>
      </w:r>
      <w:r w:rsidR="002A313C" w:rsidRPr="000854D6">
        <w:rPr>
          <w:i w:val="0"/>
          <w:color w:val="auto"/>
        </w:rPr>
        <w:t xml:space="preserve">The </w:t>
      </w:r>
      <w:r w:rsidR="001752E4" w:rsidRPr="000854D6">
        <w:rPr>
          <w:i w:val="0"/>
          <w:color w:val="auto"/>
        </w:rPr>
        <w:t>optimized</w:t>
      </w:r>
      <w:r w:rsidR="002A313C" w:rsidRPr="000854D6">
        <w:rPr>
          <w:i w:val="0"/>
          <w:color w:val="auto"/>
        </w:rPr>
        <w:t xml:space="preserve"> assay conditions</w:t>
      </w:r>
      <w:r w:rsidR="00B036C1" w:rsidRPr="000854D6">
        <w:rPr>
          <w:i w:val="0"/>
          <w:color w:val="auto"/>
        </w:rPr>
        <w:t xml:space="preserve"> </w:t>
      </w:r>
      <w:r w:rsidR="002A313C" w:rsidRPr="000854D6">
        <w:rPr>
          <w:i w:val="0"/>
          <w:color w:val="auto"/>
        </w:rPr>
        <w:t xml:space="preserve">were an incubation time of 4 hours </w:t>
      </w:r>
      <w:r w:rsidR="000B14A2" w:rsidRPr="000854D6">
        <w:rPr>
          <w:i w:val="0"/>
          <w:color w:val="auto"/>
        </w:rPr>
        <w:t>with stirring</w:t>
      </w:r>
      <w:r w:rsidR="00E264E3" w:rsidRPr="000854D6">
        <w:rPr>
          <w:i w:val="0"/>
          <w:color w:val="auto"/>
        </w:rPr>
        <w:t xml:space="preserve"> in </w:t>
      </w:r>
      <w:r w:rsidR="001C0EED" w:rsidRPr="000854D6">
        <w:rPr>
          <w:i w:val="0"/>
          <w:color w:val="auto"/>
        </w:rPr>
        <w:t xml:space="preserve">a </w:t>
      </w:r>
      <w:r w:rsidR="002A313C" w:rsidRPr="000854D6">
        <w:rPr>
          <w:i w:val="0"/>
          <w:color w:val="auto"/>
        </w:rPr>
        <w:t>pH</w:t>
      </w:r>
      <w:r w:rsidR="001C0EED" w:rsidRPr="000854D6">
        <w:rPr>
          <w:i w:val="0"/>
          <w:color w:val="auto"/>
        </w:rPr>
        <w:t xml:space="preserve"> </w:t>
      </w:r>
      <w:r w:rsidR="000B14A2" w:rsidRPr="000854D6">
        <w:rPr>
          <w:i w:val="0"/>
          <w:color w:val="auto"/>
        </w:rPr>
        <w:t xml:space="preserve">below </w:t>
      </w:r>
      <w:r w:rsidR="001C0EED" w:rsidRPr="000854D6">
        <w:rPr>
          <w:i w:val="0"/>
          <w:color w:val="auto"/>
        </w:rPr>
        <w:t>8.</w:t>
      </w:r>
      <w:r w:rsidR="002A313C" w:rsidRPr="000854D6">
        <w:rPr>
          <w:i w:val="0"/>
          <w:color w:val="auto"/>
        </w:rPr>
        <w:t xml:space="preserve"> With all th</w:t>
      </w:r>
      <w:r w:rsidR="003B01F4" w:rsidRPr="000854D6">
        <w:rPr>
          <w:i w:val="0"/>
          <w:color w:val="auto"/>
        </w:rPr>
        <w:t>e</w:t>
      </w:r>
      <w:r w:rsidR="002A313C" w:rsidRPr="000854D6">
        <w:rPr>
          <w:i w:val="0"/>
          <w:color w:val="auto"/>
        </w:rPr>
        <w:t>s</w:t>
      </w:r>
      <w:r w:rsidR="003B01F4" w:rsidRPr="000854D6">
        <w:rPr>
          <w:i w:val="0"/>
          <w:color w:val="auto"/>
        </w:rPr>
        <w:t>e</w:t>
      </w:r>
      <w:r w:rsidR="002A313C" w:rsidRPr="000854D6">
        <w:rPr>
          <w:i w:val="0"/>
          <w:color w:val="auto"/>
        </w:rPr>
        <w:t xml:space="preserve"> considerations the thickness of the aqueous boundary layer </w:t>
      </w:r>
      <w:r w:rsidR="00B036C1" w:rsidRPr="000854D6">
        <w:rPr>
          <w:i w:val="0"/>
          <w:color w:val="auto"/>
        </w:rPr>
        <w:t xml:space="preserve">is </w:t>
      </w:r>
      <w:r w:rsidR="00C07F6C" w:rsidRPr="000854D6">
        <w:rPr>
          <w:i w:val="0"/>
          <w:color w:val="auto"/>
        </w:rPr>
        <w:t>decreased</w:t>
      </w:r>
      <w:r w:rsidR="00B036C1" w:rsidRPr="000854D6">
        <w:rPr>
          <w:i w:val="0"/>
          <w:color w:val="auto"/>
        </w:rPr>
        <w:t xml:space="preserve"> as much as possible and the membrane </w:t>
      </w:r>
      <w:r w:rsidR="004A4F6C" w:rsidRPr="000854D6">
        <w:rPr>
          <w:i w:val="0"/>
          <w:color w:val="auto"/>
        </w:rPr>
        <w:t xml:space="preserve">stability </w:t>
      </w:r>
      <w:r w:rsidR="00B036C1" w:rsidRPr="000854D6">
        <w:rPr>
          <w:i w:val="0"/>
          <w:color w:val="auto"/>
        </w:rPr>
        <w:t xml:space="preserve">is guaranteed. </w:t>
      </w:r>
    </w:p>
    <w:p w14:paraId="7F3A4B13" w14:textId="0305726F" w:rsidR="000854D6" w:rsidRPr="000854D6" w:rsidRDefault="000854D6" w:rsidP="00FA20E5">
      <w:pPr>
        <w:pStyle w:val="ADMETabstracttext"/>
        <w:rPr>
          <w:i w:val="0"/>
          <w:color w:val="auto"/>
        </w:rPr>
      </w:pPr>
      <w:proofErr w:type="gramStart"/>
      <w:r w:rsidRPr="0002503B">
        <w:rPr>
          <w:sz w:val="16"/>
          <w:szCs w:val="16"/>
        </w:rPr>
        <w:t>©2020 by the authors.</w:t>
      </w:r>
      <w:proofErr w:type="gramEnd"/>
      <w:r w:rsidRPr="0002503B">
        <w:rPr>
          <w:sz w:val="16"/>
          <w:szCs w:val="16"/>
        </w:rPr>
        <w:t xml:space="preserve"> This article is an open-access article distributed under the terms and conditions of the Creative Commons Attribution license (</w:t>
      </w:r>
      <w:hyperlink r:id="rId13" w:history="1">
        <w:r w:rsidRPr="0002503B">
          <w:rPr>
            <w:rStyle w:val="Hyperlink"/>
            <w:sz w:val="16"/>
            <w:szCs w:val="16"/>
          </w:rPr>
          <w:t>http://creativecommons.org/licenses/by/4.0/</w:t>
        </w:r>
      </w:hyperlink>
      <w:r w:rsidRPr="0002503B">
        <w:rPr>
          <w:sz w:val="16"/>
          <w:szCs w:val="16"/>
        </w:rPr>
        <w:t>).</w:t>
      </w:r>
    </w:p>
    <w:bookmarkEnd w:id="0"/>
    <w:p w14:paraId="06E41C95" w14:textId="77777777" w:rsidR="007F5FFD" w:rsidRPr="00D91ABA" w:rsidRDefault="007F5FFD" w:rsidP="00767B1C">
      <w:pPr>
        <w:pStyle w:val="ADMETkeywordsheading"/>
        <w:rPr>
          <w:color w:val="auto"/>
        </w:rPr>
      </w:pPr>
      <w:r w:rsidRPr="00D91ABA">
        <w:rPr>
          <w:color w:val="auto"/>
        </w:rPr>
        <w:t>Keywords</w:t>
      </w:r>
    </w:p>
    <w:p w14:paraId="78294522" w14:textId="2C96C274" w:rsidR="007F5FFD" w:rsidRPr="00D91ABA" w:rsidRDefault="000F4754" w:rsidP="00767B1C">
      <w:pPr>
        <w:pStyle w:val="ADMETkeywords"/>
        <w:rPr>
          <w:color w:val="auto"/>
        </w:rPr>
      </w:pPr>
      <w:r w:rsidRPr="00D91ABA">
        <w:rPr>
          <w:color w:val="auto"/>
        </w:rPr>
        <w:t>Skin-PAMPA</w:t>
      </w:r>
      <w:r w:rsidR="00520D62" w:rsidRPr="00D91ABA">
        <w:rPr>
          <w:color w:val="auto"/>
        </w:rPr>
        <w:t>;</w:t>
      </w:r>
      <w:r w:rsidR="00A9028D" w:rsidRPr="00D91ABA">
        <w:rPr>
          <w:color w:val="auto"/>
        </w:rPr>
        <w:t xml:space="preserve"> </w:t>
      </w:r>
      <w:r w:rsidR="00520D62" w:rsidRPr="00D91ABA">
        <w:rPr>
          <w:color w:val="auto"/>
        </w:rPr>
        <w:t>Permeation; Optimization;</w:t>
      </w:r>
      <w:r w:rsidR="00C634D4" w:rsidRPr="00D91ABA">
        <w:rPr>
          <w:color w:val="auto"/>
        </w:rPr>
        <w:t xml:space="preserve"> Membrane </w:t>
      </w:r>
      <w:r w:rsidR="00520D62" w:rsidRPr="00D91ABA">
        <w:rPr>
          <w:color w:val="auto"/>
        </w:rPr>
        <w:t>retention;</w:t>
      </w:r>
      <w:r w:rsidR="00C634D4" w:rsidRPr="00D91ABA">
        <w:rPr>
          <w:color w:val="auto"/>
        </w:rPr>
        <w:t xml:space="preserve"> Membrane </w:t>
      </w:r>
      <w:r w:rsidR="004A4F6C" w:rsidRPr="00D91ABA">
        <w:rPr>
          <w:color w:val="auto"/>
        </w:rPr>
        <w:t>stability</w:t>
      </w:r>
    </w:p>
    <w:p w14:paraId="624E34B7" w14:textId="77777777" w:rsidR="007F5FFD" w:rsidRPr="00D91ABA" w:rsidRDefault="007F5FFD">
      <w:pPr>
        <w:pBdr>
          <w:top w:val="single" w:sz="4" w:space="1" w:color="auto"/>
        </w:pBdr>
        <w:spacing w:line="240" w:lineRule="auto"/>
        <w:rPr>
          <w:color w:val="auto"/>
          <w:szCs w:val="24"/>
          <w:lang w:val="en-GB" w:eastAsia="en-US"/>
        </w:rPr>
      </w:pPr>
    </w:p>
    <w:p w14:paraId="6D494AFC" w14:textId="65CF45CC" w:rsidR="007F5FFD" w:rsidRPr="00D91ABA" w:rsidRDefault="007F5FFD" w:rsidP="007D7736">
      <w:pPr>
        <w:pStyle w:val="ADMETheading"/>
        <w:spacing w:before="240"/>
        <w:rPr>
          <w:lang w:val="en-GB"/>
        </w:rPr>
      </w:pPr>
      <w:r w:rsidRPr="00D91ABA">
        <w:rPr>
          <w:lang w:val="en-GB"/>
        </w:rPr>
        <w:t>Introduction</w:t>
      </w:r>
    </w:p>
    <w:p w14:paraId="2FCEA513" w14:textId="16B361F8" w:rsidR="00D2427B" w:rsidRPr="00D91ABA" w:rsidRDefault="00D2427B" w:rsidP="00D91ABA">
      <w:pPr>
        <w:pStyle w:val="ADMETtext"/>
        <w:rPr>
          <w:lang w:val="en-GB"/>
        </w:rPr>
      </w:pPr>
      <w:r w:rsidRPr="00D91ABA">
        <w:rPr>
          <w:lang w:val="en-GB"/>
        </w:rPr>
        <w:t xml:space="preserve">Transdermal administration is considered </w:t>
      </w:r>
      <w:r w:rsidR="00487160" w:rsidRPr="00D91ABA">
        <w:rPr>
          <w:lang w:val="en-GB"/>
        </w:rPr>
        <w:t xml:space="preserve">as </w:t>
      </w:r>
      <w:r w:rsidRPr="00D91ABA">
        <w:rPr>
          <w:lang w:val="en-GB"/>
        </w:rPr>
        <w:t xml:space="preserve">an alternative route to conventional oral delivery of drugs. Transdermal delivery offers significant advantages over oral administration: minimal first-pass metabolism, avoidance of the adverse effects in the gastrointestinal environment and the ability to provide a controlled and </w:t>
      </w:r>
      <w:r w:rsidRPr="00D91ABA">
        <w:t>prolonged</w:t>
      </w:r>
      <w:r w:rsidRPr="00D91ABA">
        <w:rPr>
          <w:lang w:val="en-GB"/>
        </w:rPr>
        <w:t xml:space="preserve"> drug release </w:t>
      </w:r>
      <w:r w:rsidR="00067FDC" w:rsidRPr="00D91ABA">
        <w:rPr>
          <w:lang w:val="en-GB"/>
        </w:rPr>
        <w:fldChar w:fldCharType="begin" w:fldLock="1"/>
      </w:r>
      <w:r w:rsidR="00067FDC" w:rsidRPr="00D91ABA">
        <w:rPr>
          <w:lang w:val="en-GB"/>
        </w:rPr>
        <w:instrText>ADDIN CSL_CITATION {"citationItems":[{"id":"ITEM-1","itemData":{"DOI":"10.1016/S0163-7827(02)00028-0","ISSN":"01637827","author":[{"dropping-particle":"","family":"Bouwstra","given":"J","non-dropping-particle":"","parse-names":false,"suffix":""}],"container-title":"Progress in Lipid Research","id":"ITEM-1","issue":"1","issued":{"date-parts":[["2003","1"]]},"page":"1-36","title":"Structure of the skin barrier and its modulation by vesicular formulations","type":"article-journal","volume":"42"},"uris":["http://www.mendeley.com/documents/?uuid=37581d7e-3a8f-4142-be49-7cc63df36136"]}],"mendeley":{"formattedCitation":"[1]","plainTextFormattedCitation":"[1]","previouslyFormattedCitation":"[1]"},"properties":{"noteIndex":0},"schema":"https://github.com/citation-style-language/schema/raw/master/csl-citation.json"}</w:instrText>
      </w:r>
      <w:r w:rsidR="00067FDC" w:rsidRPr="00D91ABA">
        <w:rPr>
          <w:lang w:val="en-GB"/>
        </w:rPr>
        <w:fldChar w:fldCharType="separate"/>
      </w:r>
      <w:r w:rsidR="00067FDC" w:rsidRPr="00D91ABA">
        <w:rPr>
          <w:noProof/>
          <w:lang w:val="en-GB"/>
        </w:rPr>
        <w:t>[1]</w:t>
      </w:r>
      <w:r w:rsidR="00067FDC" w:rsidRPr="00D91ABA">
        <w:rPr>
          <w:lang w:val="en-GB"/>
        </w:rPr>
        <w:fldChar w:fldCharType="end"/>
      </w:r>
      <w:r w:rsidRPr="00D91ABA">
        <w:rPr>
          <w:lang w:val="en-GB"/>
        </w:rPr>
        <w:t xml:space="preserve">. Despite these advantages, the </w:t>
      </w:r>
      <w:r w:rsidR="00487160" w:rsidRPr="00D91ABA">
        <w:rPr>
          <w:lang w:val="en-GB"/>
        </w:rPr>
        <w:t>structure</w:t>
      </w:r>
      <w:r w:rsidRPr="00D91ABA">
        <w:rPr>
          <w:lang w:val="en-GB"/>
        </w:rPr>
        <w:t xml:space="preserve"> of the skin mainly composed of the stratum </w:t>
      </w:r>
      <w:proofErr w:type="spellStart"/>
      <w:r w:rsidRPr="00D91ABA">
        <w:rPr>
          <w:lang w:val="en-GB"/>
        </w:rPr>
        <w:t>corneum</w:t>
      </w:r>
      <w:proofErr w:type="spellEnd"/>
      <w:r w:rsidRPr="00D91ABA">
        <w:rPr>
          <w:lang w:val="en-GB"/>
        </w:rPr>
        <w:t xml:space="preserve"> (SC), the outermost layer which acts as the main penetration barrier, the viable epidermis and dermis</w:t>
      </w:r>
      <w:r w:rsidR="006D4D77" w:rsidRPr="00D91ABA">
        <w:rPr>
          <w:lang w:val="en-GB"/>
        </w:rPr>
        <w:t>,</w:t>
      </w:r>
      <w:r w:rsidRPr="00D91ABA">
        <w:rPr>
          <w:lang w:val="en-GB"/>
        </w:rPr>
        <w:t xml:space="preserve"> imposes a clear obstacle to the topical delivery o</w:t>
      </w:r>
      <w:r w:rsidR="002B4CE0">
        <w:rPr>
          <w:lang w:val="en-GB"/>
        </w:rPr>
        <w:t>f drugs into the systemic blood</w:t>
      </w:r>
      <w:r w:rsidRPr="00D91ABA">
        <w:rPr>
          <w:lang w:val="en-GB"/>
        </w:rPr>
        <w:t>stream.</w:t>
      </w:r>
    </w:p>
    <w:p w14:paraId="259FA9BD" w14:textId="66CF3F1C" w:rsidR="00FD16ED" w:rsidRPr="00D91ABA" w:rsidRDefault="00A83EF5" w:rsidP="00D91ABA">
      <w:pPr>
        <w:pStyle w:val="ADMETtext"/>
        <w:rPr>
          <w:lang w:val="en-GB"/>
        </w:rPr>
      </w:pPr>
      <w:r w:rsidRPr="00D91ABA">
        <w:rPr>
          <w:lang w:val="en-GB"/>
        </w:rPr>
        <w:t xml:space="preserve">Estimation of skin permeation has become crucial in the pharmaceutical and cosmetic industries. Among the </w:t>
      </w:r>
      <w:r w:rsidRPr="00D91ABA">
        <w:rPr>
          <w:i/>
          <w:iCs/>
          <w:lang w:val="en-GB"/>
        </w:rPr>
        <w:t>in vitro</w:t>
      </w:r>
      <w:r w:rsidRPr="00D91ABA">
        <w:rPr>
          <w:lang w:val="en-GB"/>
        </w:rPr>
        <w:t xml:space="preserve"> models used to determine the skin permeation, </w:t>
      </w:r>
      <w:r w:rsidR="0044694F" w:rsidRPr="00D91ABA">
        <w:rPr>
          <w:lang w:val="en-GB"/>
        </w:rPr>
        <w:t xml:space="preserve">Franz diffusion cell method applying human skin </w:t>
      </w:r>
      <w:r w:rsidR="0044694F" w:rsidRPr="00D91ABA">
        <w:rPr>
          <w:lang w:val="en-GB"/>
        </w:rPr>
        <w:lastRenderedPageBreak/>
        <w:t>as</w:t>
      </w:r>
      <w:r w:rsidR="002B4CE0">
        <w:rPr>
          <w:lang w:val="en-GB"/>
        </w:rPr>
        <w:t xml:space="preserve"> a</w:t>
      </w:r>
      <w:r w:rsidR="0044694F" w:rsidRPr="00D91ABA">
        <w:rPr>
          <w:lang w:val="en-GB"/>
        </w:rPr>
        <w:t xml:space="preserve"> membrane is the most relevant </w:t>
      </w:r>
      <w:r w:rsidR="009902B7" w:rsidRPr="00D91ABA">
        <w:rPr>
          <w:lang w:val="en-GB"/>
        </w:rPr>
        <w:fldChar w:fldCharType="begin" w:fldLock="1"/>
      </w:r>
      <w:r w:rsidR="009902B7" w:rsidRPr="00D91ABA">
        <w:rPr>
          <w:lang w:val="en-GB"/>
        </w:rPr>
        <w:instrText>ADDIN CSL_CITATION {"citationItems":[{"id":"ITEM-1","itemData":{"DOI":"10.1111/1523-1747.ep12533356","ISSN":"0022202X","author":[{"dropping-particle":"","family":"Franz","given":"Thomas J","non-dropping-particle":"","parse-names":false,"suffix":""}],"container-title":"Journal of Investigative Dermatology","id":"ITEM-1","issue":"3","issued":{"date-parts":[["1975","3"]]},"page":"190-195","title":"Percutaneous Absorption. On the Relevance of in Vitro Data","type":"article-journal","volume":"64"},"uris":["http://www.mendeley.com/documents/?uuid=cbf7913d-7f2f-42ee-a0d3-1b72750dfb0d"]}],"mendeley":{"formattedCitation":"[2]","plainTextFormattedCitation":"[2]","previouslyFormattedCitation":"[2]"},"properties":{"noteIndex":0},"schema":"https://github.com/citation-style-language/schema/raw/master/csl-citation.json"}</w:instrText>
      </w:r>
      <w:r w:rsidR="009902B7" w:rsidRPr="00D91ABA">
        <w:rPr>
          <w:lang w:val="en-GB"/>
        </w:rPr>
        <w:fldChar w:fldCharType="separate"/>
      </w:r>
      <w:r w:rsidR="009902B7" w:rsidRPr="00D91ABA">
        <w:rPr>
          <w:noProof/>
          <w:lang w:val="en-GB"/>
        </w:rPr>
        <w:t>[2]</w:t>
      </w:r>
      <w:r w:rsidR="009902B7" w:rsidRPr="00D91ABA">
        <w:rPr>
          <w:lang w:val="en-GB"/>
        </w:rPr>
        <w:fldChar w:fldCharType="end"/>
      </w:r>
      <w:r w:rsidR="0044694F" w:rsidRPr="00D91ABA">
        <w:rPr>
          <w:lang w:val="en-GB"/>
        </w:rPr>
        <w:t xml:space="preserve">, but </w:t>
      </w:r>
      <w:r w:rsidRPr="00D91ABA">
        <w:rPr>
          <w:lang w:val="en-GB"/>
        </w:rPr>
        <w:t>th</w:t>
      </w:r>
      <w:r w:rsidR="006D4D77" w:rsidRPr="00D91ABA">
        <w:rPr>
          <w:lang w:val="en-GB"/>
        </w:rPr>
        <w:t>is</w:t>
      </w:r>
      <w:r w:rsidRPr="00D91ABA">
        <w:rPr>
          <w:lang w:val="en-GB"/>
        </w:rPr>
        <w:t xml:space="preserve"> method </w:t>
      </w:r>
      <w:r w:rsidR="006D4D77" w:rsidRPr="00D91ABA">
        <w:rPr>
          <w:lang w:val="en-GB"/>
        </w:rPr>
        <w:t>is</w:t>
      </w:r>
      <w:r w:rsidRPr="00D91ABA">
        <w:rPr>
          <w:lang w:val="en-GB"/>
        </w:rPr>
        <w:t xml:space="preserve"> laborious, costly and ethically questionable</w:t>
      </w:r>
      <w:r w:rsidR="006D4D77" w:rsidRPr="00D91ABA">
        <w:rPr>
          <w:lang w:val="en-GB"/>
        </w:rPr>
        <w:t>. B</w:t>
      </w:r>
      <w:r w:rsidRPr="00D91ABA">
        <w:rPr>
          <w:lang w:val="en-GB"/>
        </w:rPr>
        <w:t>eside</w:t>
      </w:r>
      <w:r w:rsidR="006D4D77" w:rsidRPr="00D91ABA">
        <w:rPr>
          <w:lang w:val="en-GB"/>
        </w:rPr>
        <w:t>s</w:t>
      </w:r>
      <w:r w:rsidR="00923EF8" w:rsidRPr="00D91ABA">
        <w:rPr>
          <w:lang w:val="en-GB"/>
        </w:rPr>
        <w:t>, it</w:t>
      </w:r>
      <w:r w:rsidRPr="00D91ABA">
        <w:rPr>
          <w:lang w:val="en-GB"/>
        </w:rPr>
        <w:t xml:space="preserve"> suffer</w:t>
      </w:r>
      <w:r w:rsidR="00923EF8" w:rsidRPr="00D91ABA">
        <w:rPr>
          <w:lang w:val="en-GB"/>
        </w:rPr>
        <w:t>s</w:t>
      </w:r>
      <w:r w:rsidRPr="00D91ABA">
        <w:rPr>
          <w:lang w:val="en-GB"/>
        </w:rPr>
        <w:t xml:space="preserve"> low intra- and inter-laboratory</w:t>
      </w:r>
      <w:r w:rsidR="002B4CE0" w:rsidRPr="002B4CE0">
        <w:rPr>
          <w:lang w:val="en-GB"/>
        </w:rPr>
        <w:t xml:space="preserve"> </w:t>
      </w:r>
      <w:r w:rsidR="002B4CE0" w:rsidRPr="00D91ABA">
        <w:rPr>
          <w:lang w:val="en-GB"/>
        </w:rPr>
        <w:t>reproducibility</w:t>
      </w:r>
      <w:r w:rsidRPr="00D91ABA">
        <w:rPr>
          <w:lang w:val="en-GB"/>
        </w:rPr>
        <w:t xml:space="preserve">. The </w:t>
      </w:r>
      <w:r w:rsidR="004B5568">
        <w:rPr>
          <w:lang w:val="en-GB"/>
        </w:rPr>
        <w:t>p</w:t>
      </w:r>
      <w:r w:rsidRPr="00D91ABA">
        <w:rPr>
          <w:lang w:val="en-GB"/>
        </w:rPr>
        <w:t xml:space="preserve">arallel </w:t>
      </w:r>
      <w:r w:rsidR="004B5568">
        <w:rPr>
          <w:lang w:val="en-GB"/>
        </w:rPr>
        <w:t>a</w:t>
      </w:r>
      <w:r w:rsidRPr="00D91ABA">
        <w:rPr>
          <w:lang w:val="en-GB"/>
        </w:rPr>
        <w:t xml:space="preserve">rtificial </w:t>
      </w:r>
      <w:r w:rsidR="004B5568">
        <w:rPr>
          <w:lang w:val="en-GB"/>
        </w:rPr>
        <w:t>m</w:t>
      </w:r>
      <w:r w:rsidRPr="00D91ABA">
        <w:rPr>
          <w:lang w:val="en-GB"/>
        </w:rPr>
        <w:t xml:space="preserve">embrane </w:t>
      </w:r>
      <w:r w:rsidR="004B5568">
        <w:rPr>
          <w:lang w:val="en-GB"/>
        </w:rPr>
        <w:t>p</w:t>
      </w:r>
      <w:r w:rsidR="00BF284B" w:rsidRPr="00D91ABA">
        <w:rPr>
          <w:lang w:val="en-GB"/>
        </w:rPr>
        <w:t>ermeability</w:t>
      </w:r>
      <w:r w:rsidRPr="00D91ABA">
        <w:rPr>
          <w:lang w:val="en-GB"/>
        </w:rPr>
        <w:t xml:space="preserve"> </w:t>
      </w:r>
      <w:r w:rsidR="004B5568">
        <w:rPr>
          <w:lang w:val="en-GB"/>
        </w:rPr>
        <w:t>a</w:t>
      </w:r>
      <w:r w:rsidRPr="00D91ABA">
        <w:rPr>
          <w:lang w:val="en-GB"/>
        </w:rPr>
        <w:t xml:space="preserve">ssay (PAMPA) was developed by Kansy </w:t>
      </w:r>
      <w:r w:rsidR="00764D0E" w:rsidRPr="00D91ABA">
        <w:rPr>
          <w:lang w:val="en-GB"/>
        </w:rPr>
        <w:t>and co-workers</w:t>
      </w:r>
      <w:r w:rsidR="009902B7" w:rsidRPr="00D91ABA">
        <w:rPr>
          <w:lang w:val="en-GB"/>
        </w:rPr>
        <w:t xml:space="preserve"> </w:t>
      </w:r>
      <w:r w:rsidR="009902B7" w:rsidRPr="00D91ABA">
        <w:rPr>
          <w:lang w:val="en-GB"/>
        </w:rPr>
        <w:fldChar w:fldCharType="begin" w:fldLock="1"/>
      </w:r>
      <w:r w:rsidR="009902B7" w:rsidRPr="00D91ABA">
        <w:rPr>
          <w:lang w:val="en-GB"/>
        </w:rPr>
        <w:instrText>ADDIN CSL_CITATION {"citationItems":[{"id":"ITEM-1","itemData":{"DOI":"10.1021/jm970530e","ISBN":"0022-2623","ISSN":"00222623","PMID":"9544199","abstract":"no abstract","author":[{"dropping-particle":"","family":"Kansy","given":"Manfred","non-dropping-particle":"","parse-names":false,"suffix":""},{"dropping-particle":"","family":"Senner","given":"Frank","non-dropping-particle":"","parse-names":false,"suffix":""},{"dropping-particle":"","family":"Gubernator","given":"Klaus","non-dropping-particle":"","parse-names":false,"suffix":""}],"container-title":"Journal of Medicinal Chemistry","id":"ITEM-1","issue":"7","issued":{"date-parts":[["1998"]]},"page":"1007-1010","title":"Physicochemical high throughput screening: Parallel artificial membrane permeation assay in the description of passive absorption processes","type":"article-journal","volume":"41"},"uris":["http://www.mendeley.com/documents/?uuid=91dcd490-37be-4e5f-9000-47c50c7604c2"]}],"mendeley":{"formattedCitation":"[3]","plainTextFormattedCitation":"[3]","previouslyFormattedCitation":"[3]"},"properties":{"noteIndex":0},"schema":"https://github.com/citation-style-language/schema/raw/master/csl-citation.json"}</w:instrText>
      </w:r>
      <w:r w:rsidR="009902B7" w:rsidRPr="00D91ABA">
        <w:rPr>
          <w:lang w:val="en-GB"/>
        </w:rPr>
        <w:fldChar w:fldCharType="separate"/>
      </w:r>
      <w:r w:rsidR="009902B7" w:rsidRPr="00D91ABA">
        <w:rPr>
          <w:noProof/>
          <w:lang w:val="en-GB"/>
        </w:rPr>
        <w:t>[3]</w:t>
      </w:r>
      <w:r w:rsidR="009902B7" w:rsidRPr="00D91ABA">
        <w:rPr>
          <w:lang w:val="en-GB"/>
        </w:rPr>
        <w:fldChar w:fldCharType="end"/>
      </w:r>
      <w:r w:rsidR="00764D0E" w:rsidRPr="00D91ABA">
        <w:rPr>
          <w:lang w:val="en-GB"/>
        </w:rPr>
        <w:t xml:space="preserve"> </w:t>
      </w:r>
      <w:r w:rsidRPr="00D91ABA">
        <w:rPr>
          <w:lang w:val="en-GB"/>
        </w:rPr>
        <w:t>for the fast determination of the permeability t</w:t>
      </w:r>
      <w:r w:rsidR="002B4CE0">
        <w:rPr>
          <w:lang w:val="en-GB"/>
        </w:rPr>
        <w:t>h</w:t>
      </w:r>
      <w:r w:rsidRPr="00D91ABA">
        <w:rPr>
          <w:lang w:val="en-GB"/>
        </w:rPr>
        <w:t>rough passive diffusion. This technique is crucial in the early stage of drug discovery and it has many advantages like low cost and</w:t>
      </w:r>
      <w:r w:rsidR="001D3196" w:rsidRPr="00D91ABA">
        <w:t xml:space="preserve"> </w:t>
      </w:r>
      <w:r w:rsidR="001D3196" w:rsidRPr="00D91ABA">
        <w:rPr>
          <w:lang w:val="en-GB"/>
        </w:rPr>
        <w:t>high-throughput</w:t>
      </w:r>
      <w:r w:rsidRPr="00D91ABA">
        <w:rPr>
          <w:lang w:val="en-GB"/>
        </w:rPr>
        <w:t xml:space="preserve">. The first published models </w:t>
      </w:r>
      <w:r w:rsidR="0056195B" w:rsidRPr="00D91ABA">
        <w:rPr>
          <w:lang w:val="en-GB"/>
        </w:rPr>
        <w:t>allowed</w:t>
      </w:r>
      <w:r w:rsidRPr="00D91ABA">
        <w:rPr>
          <w:lang w:val="en-GB"/>
        </w:rPr>
        <w:t xml:space="preserve"> the prediction of gastrointestinal </w:t>
      </w:r>
      <w:r w:rsidR="00C62558" w:rsidRPr="00D91ABA">
        <w:rPr>
          <w:lang w:val="en-GB"/>
        </w:rPr>
        <w:t>absorption</w:t>
      </w:r>
      <w:r w:rsidRPr="00D91ABA">
        <w:rPr>
          <w:lang w:val="en-GB"/>
        </w:rPr>
        <w:t xml:space="preserve"> (GIT</w:t>
      </w:r>
      <w:r w:rsidR="00412AA4" w:rsidRPr="00D91ABA">
        <w:rPr>
          <w:lang w:val="en-GB"/>
        </w:rPr>
        <w:t>-</w:t>
      </w:r>
      <w:r w:rsidRPr="00D91ABA">
        <w:rPr>
          <w:lang w:val="en-GB"/>
        </w:rPr>
        <w:t xml:space="preserve">PAMPA) </w:t>
      </w:r>
      <w:r w:rsidR="0062162A" w:rsidRPr="00D91ABA">
        <w:rPr>
          <w:lang w:val="en-GB"/>
        </w:rPr>
        <w:fldChar w:fldCharType="begin" w:fldLock="1"/>
      </w:r>
      <w:r w:rsidR="00D638CD" w:rsidRPr="00D91ABA">
        <w:rPr>
          <w:lang w:val="en-GB"/>
        </w:rPr>
        <w:instrText>ADDIN CSL_CITATION {"citationItems":[{"id":"ITEM-1","itemData":{"author":[{"dropping-particle":"","family":"Avdeef","given":"Alex","non-dropping-particle":"","parse-names":false,"suffix":""}],"id":"ITEM-1","issued":{"date-parts":[["2003"]]},"publisher":"John Wiley &amp; Sons, Inc","title":"Absorption and Drug Development: Solubility, Permeability, and Charge State","type":"book"},"uris":["http://www.mendeley.com/documents/?uuid=db307287-56f2-4105-9747-f4804c250810"]},{"id":"ITEM-2","itemData":{"DOI":"10.1002/jps.21068","ISSN":"00223549","author":[{"dropping-particle":"","family":"Avdeef","given":"Alex","non-dropping-particle":"","parse-names":false,"suffix":""},{"dropping-particle":"","family":"Bendels","given":"Stefanie","non-dropping-particle":"","parse-names":false,"suffix":""},{"dropping-particle":"","family":"Di","given":"L.i.","non-dropping-particle":"","parse-names":false,"suffix":""},{"dropping-particle":"","family":"Faller","given":"Bernard","non-dropping-particle":"","parse-names":false,"suffix":""},{"dropping-particle":"","family":"Kansy","given":"Manfred","non-dropping-particle":"","parse-names":false,"suffix":""},{"dropping-particle":"","family":"Sugano","given":"Kiyohiko","non-dropping-particle":"","parse-names":false,"suffix":""},{"dropping-particle":"","family":"Yamauchi","given":"Yukinori","non-dropping-particle":"","parse-names":false,"suffix":""}],"container-title":"Journal of Pharmaceutical Sciences","id":"ITEM-2","issue":"11","issued":{"date-parts":[["2007","11"]]},"page":"2893-2909","title":"PAMPA—critical factors for better predictions of absorption","type":"article-journal","volume":"96"},"uris":["http://www.mendeley.com/documents/?uuid=a7fa4341-5440-4619-80da-46de316c598f"]},{"id":"ITEM-3","itemData":{"DOI":"10.1016/j.ejps.2005.12.008","ISSN":"09280987","author":[{"dropping-particle":"","family":"Avdeef","given":"Alex","non-dropping-particle":"","parse-names":false,"suffix":""},{"dropping-particle":"","family":"Tsinman","given":"Oksana","non-dropping-particle":"","parse-names":false,"suffix":""}],"container-title":"European Journal of Pharmaceutical Sciences","id":"ITEM-3","issue":"1-2","issued":{"date-parts":[["2006","5"]]},"page":"43-50","title":"PAMPA—A drug absorption in vitro model","type":"article-journal","volume":"28"},"uris":["http://www.mendeley.com/documents/?uuid=11e473fb-f3b3-4238-b66b-d9b2bec711f7"]}],"mendeley":{"formattedCitation":"[4]–[6]","manualFormatting":"[4–6]","plainTextFormattedCitation":"[4]–[6]","previouslyFormattedCitation":"[4]–[6]"},"properties":{"noteIndex":0},"schema":"https://github.com/citation-style-language/schema/raw/master/csl-citation.json"}</w:instrText>
      </w:r>
      <w:r w:rsidR="0062162A" w:rsidRPr="00D91ABA">
        <w:rPr>
          <w:lang w:val="en-GB"/>
        </w:rPr>
        <w:fldChar w:fldCharType="separate"/>
      </w:r>
      <w:r w:rsidR="007E0261" w:rsidRPr="00D91ABA">
        <w:rPr>
          <w:noProof/>
          <w:lang w:val="en-GB"/>
        </w:rPr>
        <w:t>[4–6]</w:t>
      </w:r>
      <w:r w:rsidR="0062162A" w:rsidRPr="00D91ABA">
        <w:rPr>
          <w:lang w:val="en-GB"/>
        </w:rPr>
        <w:fldChar w:fldCharType="end"/>
      </w:r>
      <w:r w:rsidR="00764D0E" w:rsidRPr="00D91ABA">
        <w:rPr>
          <w:lang w:val="en-GB"/>
        </w:rPr>
        <w:t xml:space="preserve">. Then, </w:t>
      </w:r>
      <w:r w:rsidR="00DE39E2" w:rsidRPr="00D91ABA">
        <w:rPr>
          <w:lang w:val="en-GB"/>
        </w:rPr>
        <w:t xml:space="preserve">other models </w:t>
      </w:r>
      <w:r w:rsidR="00764D0E" w:rsidRPr="00D91ABA">
        <w:rPr>
          <w:lang w:val="en-GB"/>
        </w:rPr>
        <w:t xml:space="preserve">were published for </w:t>
      </w:r>
      <w:r w:rsidR="00DE39E2" w:rsidRPr="00D91ABA">
        <w:rPr>
          <w:lang w:val="en-GB"/>
        </w:rPr>
        <w:t>modelling</w:t>
      </w:r>
      <w:r w:rsidR="002B4CE0">
        <w:rPr>
          <w:lang w:val="en-GB"/>
        </w:rPr>
        <w:t xml:space="preserve"> the blood-</w:t>
      </w:r>
      <w:r w:rsidR="00764D0E" w:rsidRPr="00D91ABA">
        <w:rPr>
          <w:lang w:val="en-GB"/>
        </w:rPr>
        <w:t>brain barrier</w:t>
      </w:r>
      <w:r w:rsidR="00FF178A" w:rsidRPr="00D91ABA">
        <w:rPr>
          <w:lang w:val="en-GB"/>
        </w:rPr>
        <w:t xml:space="preserve"> </w:t>
      </w:r>
      <w:r w:rsidR="00FF178A" w:rsidRPr="00D91ABA">
        <w:rPr>
          <w:lang w:val="en-GB"/>
        </w:rPr>
        <w:fldChar w:fldCharType="begin" w:fldLock="1"/>
      </w:r>
      <w:r w:rsidR="00FF178A" w:rsidRPr="00D91ABA">
        <w:rPr>
          <w:lang w:val="en-GB"/>
        </w:rPr>
        <w:instrText>ADDIN CSL_CITATION {"citationItems":[{"id":"ITEM-1","itemData":{"DOI":"10.1007/s11095-010-0280-x","ISSN":"0724-8741","author":[{"dropping-particle":"","family":"Tsinman","given":"Oksana","non-dropping-particle":"","parse-names":false,"suffix":""},{"dropping-particle":"","family":"Tsinman","given":"Konstantin","non-dropping-particle":"","parse-names":false,"suffix":""},{"dropping-particle":"","family":"Sun","given":"Na","non-dropping-particle":"","parse-names":false,"suffix":""},{"dropping-particle":"","family":"Avdeef","given":"Alex","non-dropping-particle":"","parse-names":false,"suffix":""}],"container-title":"Pharmaceutical Research","id":"ITEM-1","issue":"2","issued":{"date-parts":[["2011","2","14"]]},"page":"337-363","title":"Physicochemical Selectivity of the BBB Microenvironment Governing Passive Diffusion—Matching with a Porcine Brain Lipid Extract Artificial Membrane Permeability Model","type":"article-journal","volume":"28"},"uris":["http://www.mendeley.com/documents/?uuid=e5ddb9e8-0cba-4f5b-a4ec-a6ed515c600c"]}],"mendeley":{"formattedCitation":"[7]","plainTextFormattedCitation":"[7]","previouslyFormattedCitation":"[7]"},"properties":{"noteIndex":0},"schema":"https://github.com/citation-style-language/schema/raw/master/csl-citation.json"}</w:instrText>
      </w:r>
      <w:r w:rsidR="00FF178A" w:rsidRPr="00D91ABA">
        <w:rPr>
          <w:lang w:val="en-GB"/>
        </w:rPr>
        <w:fldChar w:fldCharType="separate"/>
      </w:r>
      <w:r w:rsidR="00FF178A" w:rsidRPr="00D91ABA">
        <w:rPr>
          <w:noProof/>
          <w:lang w:val="en-GB"/>
        </w:rPr>
        <w:t>[7]</w:t>
      </w:r>
      <w:r w:rsidR="00FF178A" w:rsidRPr="00D91ABA">
        <w:rPr>
          <w:lang w:val="en-GB"/>
        </w:rPr>
        <w:fldChar w:fldCharType="end"/>
      </w:r>
      <w:r w:rsidR="00764D0E" w:rsidRPr="00D91ABA">
        <w:rPr>
          <w:lang w:val="en-GB"/>
        </w:rPr>
        <w:t xml:space="preserve"> and also for the estimation of skin permeation</w:t>
      </w:r>
      <w:r w:rsidR="00FF178A" w:rsidRPr="00D91ABA">
        <w:rPr>
          <w:lang w:val="en-GB"/>
        </w:rPr>
        <w:t xml:space="preserve"> </w:t>
      </w:r>
      <w:r w:rsidR="00FF178A" w:rsidRPr="00D91ABA">
        <w:rPr>
          <w:lang w:val="en-GB"/>
        </w:rPr>
        <w:fldChar w:fldCharType="begin" w:fldLock="1"/>
      </w:r>
      <w:r w:rsidR="00FF178A" w:rsidRPr="00D91ABA">
        <w:rPr>
          <w:lang w:val="en-GB"/>
        </w:rPr>
        <w:instrText>ADDIN CSL_CITATION {"citationItems":[{"id":"ITEM-1","itemData":{"author":[{"dropping-particle":"","family":"Ottaviani","given":"G.","non-dropping-particle":"","parse-names":false,"suffix":""},{"dropping-particle":"","family":"Martel","given":"S.","non-dropping-particle":"","parse-names":false,"suffix":""},{"dropping-particle":"","family":"Carrupt","given":"P.A.","non-dropping-particle":"","parse-names":false,"suffix":""}],"container-title":"Journal of Medicinal Chemistry","id":"ITEM-1","issue":"13","issued":{"date-parts":[["2006"]]},"page":"3948-3954","title":"Parallel artificial membrane permeability assay: a new membrane for the fast prediction of passive human skin permeability","type":"article-journal","volume":"49"},"uris":["http://www.mendeley.com/documents/?uuid=01dafa18-b143-43ae-b916-b205967e57f4"]}],"mendeley":{"formattedCitation":"[8]","plainTextFormattedCitation":"[8]","previouslyFormattedCitation":"[8]"},"properties":{"noteIndex":0},"schema":"https://github.com/citation-style-language/schema/raw/master/csl-citation.json"}</w:instrText>
      </w:r>
      <w:r w:rsidR="00FF178A" w:rsidRPr="00D91ABA">
        <w:rPr>
          <w:lang w:val="en-GB"/>
        </w:rPr>
        <w:fldChar w:fldCharType="separate"/>
      </w:r>
      <w:r w:rsidR="00FF178A" w:rsidRPr="00D91ABA">
        <w:rPr>
          <w:noProof/>
          <w:lang w:val="en-GB"/>
        </w:rPr>
        <w:t>[8]</w:t>
      </w:r>
      <w:r w:rsidR="00FF178A" w:rsidRPr="00D91ABA">
        <w:rPr>
          <w:lang w:val="en-GB"/>
        </w:rPr>
        <w:fldChar w:fldCharType="end"/>
      </w:r>
      <w:r w:rsidR="00FF178A" w:rsidRPr="00D91ABA">
        <w:rPr>
          <w:lang w:val="en-GB"/>
        </w:rPr>
        <w:t xml:space="preserve">. </w:t>
      </w:r>
      <w:r w:rsidR="00FD16ED" w:rsidRPr="00D91ABA">
        <w:rPr>
          <w:lang w:val="en-GB"/>
        </w:rPr>
        <w:t xml:space="preserve">Later, </w:t>
      </w:r>
      <w:proofErr w:type="spellStart"/>
      <w:r w:rsidR="00FD16ED" w:rsidRPr="00D91ABA">
        <w:rPr>
          <w:lang w:val="en-GB"/>
        </w:rPr>
        <w:t>Sink</w:t>
      </w:r>
      <w:r w:rsidR="00C62558" w:rsidRPr="00D91ABA">
        <w:rPr>
          <w:lang w:val="en-GB"/>
        </w:rPr>
        <w:t>ó</w:t>
      </w:r>
      <w:proofErr w:type="spellEnd"/>
      <w:r w:rsidR="00FD16ED" w:rsidRPr="00D91ABA">
        <w:rPr>
          <w:lang w:val="en-GB"/>
        </w:rPr>
        <w:t xml:space="preserve"> and co-workers developed the </w:t>
      </w:r>
      <w:r w:rsidR="00203C0B" w:rsidRPr="00D91ABA">
        <w:rPr>
          <w:lang w:val="en-GB"/>
        </w:rPr>
        <w:t>skin-</w:t>
      </w:r>
      <w:r w:rsidR="00FD16ED" w:rsidRPr="00D91ABA">
        <w:rPr>
          <w:lang w:val="en-GB"/>
        </w:rPr>
        <w:t>PAMPA methodology consisting of a new membrane containing</w:t>
      </w:r>
      <w:r w:rsidR="00E3417E" w:rsidRPr="00D91ABA">
        <w:rPr>
          <w:lang w:val="en-GB"/>
        </w:rPr>
        <w:t xml:space="preserve"> </w:t>
      </w:r>
      <w:r w:rsidR="00FD16ED" w:rsidRPr="00D91ABA">
        <w:rPr>
          <w:lang w:val="en-GB"/>
        </w:rPr>
        <w:t xml:space="preserve">synthetic </w:t>
      </w:r>
      <w:proofErr w:type="spellStart"/>
      <w:r w:rsidR="00FD16ED" w:rsidRPr="00D91ABA">
        <w:rPr>
          <w:lang w:val="en-GB"/>
        </w:rPr>
        <w:t>certramides</w:t>
      </w:r>
      <w:proofErr w:type="spellEnd"/>
      <w:r w:rsidR="00FD16ED" w:rsidRPr="00D91ABA">
        <w:rPr>
          <w:lang w:val="en-GB"/>
        </w:rPr>
        <w:t xml:space="preserve">, analogues of </w:t>
      </w:r>
      <w:r w:rsidR="0085735A" w:rsidRPr="00D91ABA">
        <w:rPr>
          <w:lang w:val="en-GB"/>
        </w:rPr>
        <w:t xml:space="preserve">the </w:t>
      </w:r>
      <w:r w:rsidR="00FD16ED" w:rsidRPr="00D91ABA">
        <w:rPr>
          <w:lang w:val="en-GB"/>
        </w:rPr>
        <w:t>ceramides</w:t>
      </w:r>
      <w:r w:rsidR="0085735A" w:rsidRPr="00D91ABA">
        <w:rPr>
          <w:lang w:val="en-GB"/>
        </w:rPr>
        <w:t xml:space="preserve"> </w:t>
      </w:r>
      <w:r w:rsidR="00FD16ED" w:rsidRPr="00D91ABA">
        <w:rPr>
          <w:lang w:val="en-GB"/>
        </w:rPr>
        <w:t xml:space="preserve">found in the stratum </w:t>
      </w:r>
      <w:proofErr w:type="spellStart"/>
      <w:r w:rsidR="00FD16ED" w:rsidRPr="00D91ABA">
        <w:rPr>
          <w:lang w:val="en-GB"/>
        </w:rPr>
        <w:t>corneum</w:t>
      </w:r>
      <w:proofErr w:type="spellEnd"/>
      <w:r w:rsidR="00FD16ED" w:rsidRPr="00D91ABA">
        <w:rPr>
          <w:lang w:val="en-GB"/>
        </w:rPr>
        <w:t xml:space="preserve"> </w:t>
      </w:r>
      <w:r w:rsidR="0062162A" w:rsidRPr="00D91ABA">
        <w:rPr>
          <w:lang w:val="en-GB"/>
        </w:rPr>
        <w:fldChar w:fldCharType="begin" w:fldLock="1"/>
      </w:r>
      <w:r w:rsidR="00D638CD" w:rsidRPr="00D91ABA">
        <w:rPr>
          <w:lang w:val="en-GB"/>
        </w:rPr>
        <w:instrText>ADDIN CSL_CITATION {"citationItems":[{"id":"ITEM-1","itemData":{"DOI":"10.1002/cbdv.200900149","ISSN":"16121872","author":[{"dropping-particle":"","family":"Sinkó","given":"B.","non-dropping-particle":"","parse-names":false,"suffix":""},{"dropping-particle":"","family":"Kökösi","given":"J.","non-dropping-particle":"","parse-names":false,"suffix":""},{"dropping-particle":"","family":"Avdeef","given":"A.","non-dropping-particle":"","parse-names":false,"suffix":""},{"dropping-particle":"","family":"Takács-Novák","given":"K.","non-dropping-particle":"","parse-names":false,"suffix":""}],"container-title":"Chemistry &amp; Biodiversity","id":"ITEM-1","issue":"11","issued":{"date-parts":[["2009","11"]]},"page":"1867-1874","title":"A PAMPA Study of the Permeability-Enhancing Effect of New Ceramide Analogues","type":"article-journal","volume":"6"},"uris":["http://www.mendeley.com/documents/?uuid=4ba18789-e819-4d31-a28c-0f21d52291a9"]},{"id":"ITEM-2","itemData":{"DOI":"10.1016/j.ejps.2012.01.011","ISSN":"09280987","author":[{"dropping-particle":"","family":"Sinkó","given":"Bálint","non-dropping-particle":"","parse-names":false,"suffix":""},{"dropping-particle":"","family":"Garrigues","given":"Teresa M.","non-dropping-particle":"","parse-names":false,"suffix":""},{"dropping-particle":"","family":"Balogh","given":"György T.","non-dropping-particle":"","parse-names":false,"suffix":""},{"dropping-particle":"","family":"Nagy","given":"Zsombor K.","non-dropping-particle":"","parse-names":false,"suffix":""},{"dropping-particle":"","family":"Tsinman","given":"Oksana","non-dropping-particle":"","parse-names":false,"suffix":""},{"dropping-particle":"","family":"Avdeef","given":"Alex","non-dropping-particle":"","parse-names":false,"suffix":""},{"dropping-particle":"","family":"Takács-Novák","given":"Krisztina","non-dropping-particle":"","parse-names":false,"suffix":""}],"container-title":"European Journal of Pharmaceutical Sciences","id":"ITEM-2","issue":"5","issued":{"date-parts":[["2012","4"]]},"page":"698-707","title":"Skin–PAMPA: A new method for fast prediction of skin penetration","type":"article-journal","volume":"45"},"uris":["http://www.mendeley.com/documents/?uuid=dae869bd-3faa-44b2-9f03-7a643799aec6"]}],"mendeley":{"formattedCitation":"[9], [10]","plainTextFormattedCitation":"[9], [10]","previouslyFormattedCitation":"[9], [10]"},"properties":{"noteIndex":0},"schema":"https://github.com/citation-style-language/schema/raw/master/csl-citation.json"}</w:instrText>
      </w:r>
      <w:r w:rsidR="0062162A" w:rsidRPr="00D91ABA">
        <w:rPr>
          <w:lang w:val="en-GB"/>
        </w:rPr>
        <w:fldChar w:fldCharType="separate"/>
      </w:r>
      <w:r w:rsidR="00D638CD" w:rsidRPr="00D91ABA">
        <w:rPr>
          <w:noProof/>
          <w:lang w:val="en-GB"/>
        </w:rPr>
        <w:t>[9</w:t>
      </w:r>
      <w:r w:rsidR="004B5568">
        <w:rPr>
          <w:noProof/>
          <w:lang w:val="en-GB"/>
        </w:rPr>
        <w:t>,</w:t>
      </w:r>
      <w:r w:rsidR="00D638CD" w:rsidRPr="00D91ABA">
        <w:rPr>
          <w:noProof/>
          <w:lang w:val="en-GB"/>
        </w:rPr>
        <w:t>10]</w:t>
      </w:r>
      <w:r w:rsidR="0062162A" w:rsidRPr="00D91ABA">
        <w:rPr>
          <w:lang w:val="en-GB"/>
        </w:rPr>
        <w:fldChar w:fldCharType="end"/>
      </w:r>
      <w:r w:rsidR="00FD16ED" w:rsidRPr="00D91ABA">
        <w:rPr>
          <w:lang w:val="en-GB"/>
        </w:rPr>
        <w:t xml:space="preserve">. </w:t>
      </w:r>
      <w:proofErr w:type="spellStart"/>
      <w:r w:rsidR="0056195B" w:rsidRPr="00D91ABA">
        <w:rPr>
          <w:lang w:val="en-GB"/>
        </w:rPr>
        <w:t>C</w:t>
      </w:r>
      <w:r w:rsidR="00FD16ED" w:rsidRPr="00D91ABA">
        <w:rPr>
          <w:lang w:val="en-GB"/>
        </w:rPr>
        <w:t>ertramides</w:t>
      </w:r>
      <w:proofErr w:type="spellEnd"/>
      <w:r w:rsidR="00FD16ED" w:rsidRPr="00D91ABA">
        <w:rPr>
          <w:lang w:val="en-GB"/>
        </w:rPr>
        <w:t xml:space="preserve"> are cheaper alternatives to natural ceramides with the potential to prolong the storage time. Although </w:t>
      </w:r>
      <w:proofErr w:type="spellStart"/>
      <w:r w:rsidR="00FD16ED" w:rsidRPr="00D91ABA">
        <w:rPr>
          <w:lang w:val="en-GB"/>
        </w:rPr>
        <w:t>certramides</w:t>
      </w:r>
      <w:proofErr w:type="spellEnd"/>
      <w:r w:rsidR="00FD16ED" w:rsidRPr="00D91ABA">
        <w:rPr>
          <w:lang w:val="en-GB"/>
        </w:rPr>
        <w:t xml:space="preserve"> are structurally different from ceramides, their comparable molecular mass and hydrogen </w:t>
      </w:r>
      <w:r w:rsidR="00923EF8" w:rsidRPr="00D91ABA">
        <w:rPr>
          <w:lang w:val="en-GB"/>
        </w:rPr>
        <w:t xml:space="preserve">bond </w:t>
      </w:r>
      <w:r w:rsidR="00FD16ED" w:rsidRPr="00D91ABA">
        <w:rPr>
          <w:lang w:val="en-GB"/>
        </w:rPr>
        <w:t>acceptor/donor capacity enables them to act as the lipid constituents in the PAMPA sandwich membrane</w:t>
      </w:r>
      <w:r w:rsidR="0056195B" w:rsidRPr="00D91ABA">
        <w:rPr>
          <w:lang w:val="en-GB"/>
        </w:rPr>
        <w:t>,</w:t>
      </w:r>
      <w:r w:rsidR="00FD16ED" w:rsidRPr="00D91ABA">
        <w:rPr>
          <w:lang w:val="en-GB"/>
        </w:rPr>
        <w:t xml:space="preserve"> together with cholesterol, stearic acid and silicone oil</w:t>
      </w:r>
      <w:r w:rsidR="00FF178A" w:rsidRPr="00D91ABA">
        <w:rPr>
          <w:lang w:val="en-GB"/>
        </w:rPr>
        <w:t xml:space="preserve"> </w:t>
      </w:r>
      <w:r w:rsidR="0062162A" w:rsidRPr="00D91ABA">
        <w:rPr>
          <w:lang w:val="en-GB"/>
        </w:rPr>
        <w:fldChar w:fldCharType="begin" w:fldLock="1"/>
      </w:r>
      <w:r w:rsidR="00D638CD" w:rsidRPr="00D91ABA">
        <w:rPr>
          <w:lang w:val="en-GB"/>
        </w:rPr>
        <w:instrText>ADDIN CSL_CITATION {"citationItems":[{"id":"ITEM-1","itemData":{"DOI":"10.1002/cbdv.200900149","ISSN":"16121872","author":[{"dropping-particle":"","family":"Sinkó","given":"B.","non-dropping-particle":"","parse-names":false,"suffix":""},{"dropping-particle":"","family":"Kökösi","given":"J.","non-dropping-particle":"","parse-names":false,"suffix":""},{"dropping-particle":"","family":"Avdeef","given":"A.","non-dropping-particle":"","parse-names":false,"suffix":""},{"dropping-particle":"","family":"Takács-Novák","given":"K.","non-dropping-particle":"","parse-names":false,"suffix":""}],"container-title":"Chemistry &amp; Biodiversity","id":"ITEM-1","issue":"11","issued":{"date-parts":[["2009","11"]]},"page":"1867-1874","title":"A PAMPA Study of the Permeability-Enhancing Effect of New Ceramide Analogues","type":"article-journal","volume":"6"},"uris":["http://www.mendeley.com/documents/?uuid=4ba18789-e819-4d31-a28c-0f21d52291a9"]},{"id":"ITEM-2","itemData":{"DOI":"10.1016/j.ejps.2012.01.011","ISSN":"09280987","author":[{"dropping-particle":"","family":"Sinkó","given":"Bálint","non-dropping-particle":"","parse-names":false,"suffix":""},{"dropping-particle":"","family":"Garrigues","given":"Teresa M.","non-dropping-particle":"","parse-names":false,"suffix":""},{"dropping-particle":"","family":"Balogh","given":"György T.","non-dropping-particle":"","parse-names":false,"suffix":""},{"dropping-particle":"","family":"Nagy","given":"Zsombor K.","non-dropping-particle":"","parse-names":false,"suffix":""},{"dropping-particle":"","family":"Tsinman","given":"Oksana","non-dropping-particle":"","parse-names":false,"suffix":""},{"dropping-particle":"","family":"Avdeef","given":"Alex","non-dropping-particle":"","parse-names":false,"suffix":""},{"dropping-particle":"","family":"Takács-Novák","given":"Krisztina","non-dropping-particle":"","parse-names":false,"suffix":""}],"container-title":"European Journal of Pharmaceutical Sciences","id":"ITEM-2","issue":"5","issued":{"date-parts":[["2012","4"]]},"page":"698-707","title":"Skin–PAMPA: A new method for fast prediction of skin penetration","type":"article-journal","volume":"45"},"uris":["http://www.mendeley.com/documents/?uuid=dae869bd-3faa-44b2-9f03-7a643799aec6"]}],"mendeley":{"formattedCitation":"[9], [10]","plainTextFormattedCitation":"[9], [10]","previouslyFormattedCitation":"[9], [10]"},"properties":{"noteIndex":0},"schema":"https://github.com/citation-style-language/schema/raw/master/csl-citation.json"}</w:instrText>
      </w:r>
      <w:r w:rsidR="0062162A" w:rsidRPr="00D91ABA">
        <w:rPr>
          <w:lang w:val="en-GB"/>
        </w:rPr>
        <w:fldChar w:fldCharType="separate"/>
      </w:r>
      <w:r w:rsidR="007E0261" w:rsidRPr="00D91ABA">
        <w:rPr>
          <w:noProof/>
          <w:lang w:val="en-GB"/>
        </w:rPr>
        <w:t>[9,10]</w:t>
      </w:r>
      <w:r w:rsidR="0062162A" w:rsidRPr="00D91ABA">
        <w:rPr>
          <w:lang w:val="en-GB"/>
        </w:rPr>
        <w:fldChar w:fldCharType="end"/>
      </w:r>
      <w:r w:rsidR="00FD16ED" w:rsidRPr="00D91ABA">
        <w:rPr>
          <w:lang w:val="en-GB"/>
        </w:rPr>
        <w:t xml:space="preserve">. </w:t>
      </w:r>
      <w:r w:rsidR="000F4754" w:rsidRPr="00D91ABA">
        <w:rPr>
          <w:lang w:val="en-GB"/>
        </w:rPr>
        <w:t>Skin-PAMPA</w:t>
      </w:r>
      <w:r w:rsidR="00FD16ED" w:rsidRPr="00D91ABA">
        <w:rPr>
          <w:lang w:val="en-GB"/>
        </w:rPr>
        <w:t xml:space="preserve"> is a model that offers high reproducibility, is more cost-effective and less laborious than</w:t>
      </w:r>
      <w:r w:rsidR="00BE21ED" w:rsidRPr="00D91ABA">
        <w:rPr>
          <w:lang w:val="en-GB"/>
        </w:rPr>
        <w:t xml:space="preserve"> other</w:t>
      </w:r>
      <w:r w:rsidR="00FD16ED" w:rsidRPr="00D91ABA">
        <w:rPr>
          <w:lang w:val="en-GB"/>
        </w:rPr>
        <w:t xml:space="preserve"> </w:t>
      </w:r>
      <w:r w:rsidR="00FD16ED" w:rsidRPr="00D91ABA">
        <w:rPr>
          <w:i/>
          <w:iCs/>
          <w:lang w:val="en-GB"/>
        </w:rPr>
        <w:t>in vitro</w:t>
      </w:r>
      <w:r w:rsidR="00FD16ED" w:rsidRPr="00D91ABA">
        <w:rPr>
          <w:lang w:val="en-GB"/>
        </w:rPr>
        <w:t xml:space="preserve"> skin experiments</w:t>
      </w:r>
      <w:r w:rsidR="00923EF8" w:rsidRPr="00D91ABA">
        <w:rPr>
          <w:lang w:val="en-GB"/>
        </w:rPr>
        <w:t>,</w:t>
      </w:r>
      <w:r w:rsidR="00FD16ED" w:rsidRPr="00D91ABA">
        <w:rPr>
          <w:lang w:val="en-GB"/>
        </w:rPr>
        <w:t xml:space="preserve"> and has demonstrated a high prediction capability with a good correlation with the human skin penetration data </w:t>
      </w:r>
      <w:r w:rsidR="00FF178A" w:rsidRPr="00D91ABA">
        <w:rPr>
          <w:lang w:val="en-GB"/>
        </w:rPr>
        <w:fldChar w:fldCharType="begin" w:fldLock="1"/>
      </w:r>
      <w:r w:rsidR="00FF178A" w:rsidRPr="00D91ABA">
        <w:rPr>
          <w:lang w:val="en-GB"/>
        </w:rPr>
        <w:instrText>ADDIN CSL_CITATION {"citationItems":[{"id":"ITEM-1","itemData":{"DOI":"10.1016/j.ejps.2012.01.011","ISSN":"09280987","author":[{"dropping-particle":"","family":"Sinkó","given":"Bálint","non-dropping-particle":"","parse-names":false,"suffix":""},{"dropping-particle":"","family":"Garrigues","given":"Teresa M.","non-dropping-particle":"","parse-names":false,"suffix":""},{"dropping-particle":"","family":"Balogh","given":"György T.","non-dropping-particle":"","parse-names":false,"suffix":""},{"dropping-particle":"","family":"Nagy","given":"Zsombor K.","non-dropping-particle":"","parse-names":false,"suffix":""},{"dropping-particle":"","family":"Tsinman","given":"Oksana","non-dropping-particle":"","parse-names":false,"suffix":""},{"dropping-particle":"","family":"Avdeef","given":"Alex","non-dropping-particle":"","parse-names":false,"suffix":""},{"dropping-particle":"","family":"Takács-Novák","given":"Krisztina","non-dropping-particle":"","parse-names":false,"suffix":""}],"container-title":"European Journal of Pharmaceutical Sciences","id":"ITEM-1","issue":"5","issued":{"date-parts":[["2012","4"]]},"page":"698-707","title":"Skin–PAMPA: A new method for fast prediction of skin penetration","type":"article-journal","volume":"45"},"uris":["http://www.mendeley.com/documents/?uuid=dae869bd-3faa-44b2-9f03-7a643799aec6"]}],"mendeley":{"formattedCitation":"[10]","plainTextFormattedCitation":"[10]","previouslyFormattedCitation":"[10]"},"properties":{"noteIndex":0},"schema":"https://github.com/citation-style-language/schema/raw/master/csl-citation.json"}</w:instrText>
      </w:r>
      <w:r w:rsidR="00FF178A" w:rsidRPr="00D91ABA">
        <w:rPr>
          <w:lang w:val="en-GB"/>
        </w:rPr>
        <w:fldChar w:fldCharType="separate"/>
      </w:r>
      <w:r w:rsidR="00FF178A" w:rsidRPr="00D91ABA">
        <w:rPr>
          <w:noProof/>
          <w:lang w:val="en-GB"/>
        </w:rPr>
        <w:t>[10]</w:t>
      </w:r>
      <w:r w:rsidR="00FF178A" w:rsidRPr="00D91ABA">
        <w:rPr>
          <w:lang w:val="en-GB"/>
        </w:rPr>
        <w:fldChar w:fldCharType="end"/>
      </w:r>
      <w:r w:rsidR="00FD16ED" w:rsidRPr="00D91ABA">
        <w:rPr>
          <w:lang w:val="en-GB"/>
        </w:rPr>
        <w:t>.</w:t>
      </w:r>
      <w:r w:rsidR="00A95DB9" w:rsidRPr="00D91ABA">
        <w:rPr>
          <w:lang w:val="en-GB"/>
        </w:rPr>
        <w:t xml:space="preserve"> </w:t>
      </w:r>
    </w:p>
    <w:p w14:paraId="793F7759" w14:textId="3015116B" w:rsidR="005138FB" w:rsidRPr="00D91ABA" w:rsidRDefault="00412AA4" w:rsidP="00D91ABA">
      <w:pPr>
        <w:pStyle w:val="ADMETtext"/>
        <w:rPr>
          <w:lang w:val="en-GB"/>
        </w:rPr>
      </w:pPr>
      <w:r w:rsidRPr="00D91ABA">
        <w:rPr>
          <w:lang w:val="en-GB"/>
        </w:rPr>
        <w:t>GIT</w:t>
      </w:r>
      <w:r w:rsidR="00560D46" w:rsidRPr="00D91ABA">
        <w:rPr>
          <w:lang w:val="en-GB"/>
        </w:rPr>
        <w:t xml:space="preserve"> </w:t>
      </w:r>
      <w:r w:rsidR="00A95DB9" w:rsidRPr="00D91ABA">
        <w:rPr>
          <w:lang w:val="en-GB"/>
        </w:rPr>
        <w:t xml:space="preserve">PAMPA assay conditions such as permeation time, assay pH, stirring, use of </w:t>
      </w:r>
      <w:proofErr w:type="spellStart"/>
      <w:r w:rsidR="00A95DB9" w:rsidRPr="00D91ABA">
        <w:rPr>
          <w:lang w:val="en-GB"/>
        </w:rPr>
        <w:t>cosolvents</w:t>
      </w:r>
      <w:proofErr w:type="spellEnd"/>
      <w:r w:rsidR="00A95DB9" w:rsidRPr="00D91ABA">
        <w:rPr>
          <w:lang w:val="en-GB"/>
        </w:rPr>
        <w:t xml:space="preserve"> and selection of detection techniques have been studied during years and </w:t>
      </w:r>
      <w:r w:rsidR="00BE21ED" w:rsidRPr="00D91ABA">
        <w:rPr>
          <w:lang w:val="en-GB"/>
        </w:rPr>
        <w:t>optimized</w:t>
      </w:r>
      <w:r w:rsidR="00A95DB9" w:rsidRPr="00D91ABA">
        <w:rPr>
          <w:lang w:val="en-GB"/>
        </w:rPr>
        <w:t xml:space="preserve"> to generate high quality and relevant data</w:t>
      </w:r>
      <w:r w:rsidR="00FF178A" w:rsidRPr="00D91ABA">
        <w:rPr>
          <w:lang w:val="en-GB"/>
        </w:rPr>
        <w:t xml:space="preserve"> </w:t>
      </w:r>
      <w:r w:rsidR="00FF178A" w:rsidRPr="00D91ABA">
        <w:rPr>
          <w:lang w:val="en-GB"/>
        </w:rPr>
        <w:fldChar w:fldCharType="begin" w:fldLock="1"/>
      </w:r>
      <w:r w:rsidR="00FF178A" w:rsidRPr="00D91ABA">
        <w:rPr>
          <w:lang w:val="en-GB"/>
        </w:rPr>
        <w:instrText>ADDIN CSL_CITATION {"citationItems":[{"id":"ITEM-1","itemData":{"DOI":"10.1002/jps.21068","ISSN":"00223549","author":[{"dropping-particle":"","family":"Avdeef","given":"Alex","non-dropping-particle":"","parse-names":false,"suffix":""},{"dropping-particle":"","family":"Bendels","given":"Stefanie","non-dropping-particle":"","parse-names":false,"suffix":""},{"dropping-particle":"","family":"Di","given":"L.i.","non-dropping-particle":"","parse-names":false,"suffix":""},{"dropping-particle":"","family":"Faller","given":"Bernard","non-dropping-particle":"","parse-names":false,"suffix":""},{"dropping-particle":"","family":"Kansy","given":"Manfred","non-dropping-particle":"","parse-names":false,"suffix":""},{"dropping-particle":"","family":"Sugano","given":"Kiyohiko","non-dropping-particle":"","parse-names":false,"suffix":""},{"dropping-particle":"","family":"Yamauchi","given":"Yukinori","non-dropping-particle":"","parse-names":false,"suffix":""}],"container-title":"Journal of Pharmaceutical Sciences","id":"ITEM-1","issue":"11","issued":{"date-parts":[["2007","11"]]},"page":"2893-2909","title":"PAMPA—critical factors for better predictions of absorption","type":"article-journal","volume":"96"},"uris":["http://www.mendeley.com/documents/?uuid=a7fa4341-5440-4619-80da-46de316c598f"]}],"mendeley":{"formattedCitation":"[5]","plainTextFormattedCitation":"[5]","previouslyFormattedCitation":"[5]"},"properties":{"noteIndex":0},"schema":"https://github.com/citation-style-language/schema/raw/master/csl-citation.json"}</w:instrText>
      </w:r>
      <w:r w:rsidR="00FF178A" w:rsidRPr="00D91ABA">
        <w:rPr>
          <w:lang w:val="en-GB"/>
        </w:rPr>
        <w:fldChar w:fldCharType="separate"/>
      </w:r>
      <w:r w:rsidR="00FF178A" w:rsidRPr="00D91ABA">
        <w:rPr>
          <w:noProof/>
          <w:lang w:val="en-GB"/>
        </w:rPr>
        <w:t>[5]</w:t>
      </w:r>
      <w:r w:rsidR="00FF178A" w:rsidRPr="00D91ABA">
        <w:rPr>
          <w:lang w:val="en-GB"/>
        </w:rPr>
        <w:fldChar w:fldCharType="end"/>
      </w:r>
      <w:r w:rsidR="00A95DB9" w:rsidRPr="00D91ABA">
        <w:rPr>
          <w:lang w:val="en-GB"/>
        </w:rPr>
        <w:t xml:space="preserve">. For </w:t>
      </w:r>
      <w:r w:rsidR="00203C0B" w:rsidRPr="00D91ABA">
        <w:rPr>
          <w:lang w:val="en-GB"/>
        </w:rPr>
        <w:t>skin-</w:t>
      </w:r>
      <w:r w:rsidR="00A95DB9" w:rsidRPr="00D91ABA">
        <w:rPr>
          <w:lang w:val="en-GB"/>
        </w:rPr>
        <w:t xml:space="preserve">PAMPA, only a few </w:t>
      </w:r>
      <w:r w:rsidR="00A95DB9" w:rsidRPr="00D91ABA">
        <w:t>articles</w:t>
      </w:r>
      <w:r w:rsidR="00A95DB9" w:rsidRPr="00D91ABA">
        <w:rPr>
          <w:lang w:val="en-GB"/>
        </w:rPr>
        <w:t xml:space="preserve"> have been published </w:t>
      </w:r>
      <w:r w:rsidR="0062162A" w:rsidRPr="00D91ABA">
        <w:rPr>
          <w:lang w:val="en-GB"/>
        </w:rPr>
        <w:fldChar w:fldCharType="begin" w:fldLock="1"/>
      </w:r>
      <w:r w:rsidR="00D638CD" w:rsidRPr="00D91ABA">
        <w:rPr>
          <w:lang w:val="en-GB"/>
        </w:rPr>
        <w:instrText>ADDIN CSL_CITATION {"citationItems":[{"id":"ITEM-1","itemData":{"DOI":"10.1016/j.ejps.2012.01.011","ISSN":"09280987","author":[{"dropping-particle":"","family":"Sinkó","given":"Bálint","non-dropping-particle":"","parse-names":false,"suffix":""},{"dropping-particle":"","family":"Garrigues","given":"Teresa M.","non-dropping-particle":"","parse-names":false,"suffix":""},{"dropping-particle":"","family":"Balogh","given":"György T.","non-dropping-particle":"","parse-names":false,"suffix":""},{"dropping-particle":"","family":"Nagy","given":"Zsombor K.","non-dropping-particle":"","parse-names":false,"suffix":""},{"dropping-particle":"","family":"Tsinman","given":"Oksana","non-dropping-particle":"","parse-names":false,"suffix":""},{"dropping-particle":"","family":"Avdeef","given":"Alex","non-dropping-particle":"","parse-names":false,"suffix":""},{"dropping-particle":"","family":"Takács-Novák","given":"Krisztina","non-dropping-particle":"","parse-names":false,"suffix":""}],"container-title":"European Journal of Pharmaceutical Sciences","id":"ITEM-1","issue":"5","issued":{"date-parts":[["2012","4"]]},"page":"698-707","title":"Skin–PAMPA: A new method for fast prediction of skin penetration","type":"article-journal","volume":"45"},"uris":["http://www.mendeley.com/documents/?uuid=dae869bd-3faa-44b2-9f03-7a643799aec6"]},{"id":"ITEM-2","itemData":{"DOI":"10.5599/admet.2.4.150","ISSN":"1848-7718","author":[{"dropping-particle":"","family":"Sinkó","given":"Bálint","non-dropping-particle":"","parse-names":false,"suffix":""},{"dropping-particle":"","family":"Vizserálek","given":"Gábor","non-dropping-particle":"","parse-names":false,"suffix":""},{"dropping-particle":"","family":"Takács-Novák","given":"Krisztina","non-dropping-particle":"","parse-names":false,"suffix":""}],"container-title":"ADMET &amp; DMPK","id":"ITEM-2","issue":"4","issued":{"date-parts":[["2015","1","9"]]},"title":"Skin PAMPA: Application in practice","type":"article-journal","volume":"2"},"uris":["http://www.mendeley.com/documents/?uuid=6584c98e-889e-43d7-ba23-5234bd6f2d03"]}],"mendeley":{"formattedCitation":"[10], [11]","plainTextFormattedCitation":"[10], [11]","previouslyFormattedCitation":"[10], [11]"},"properties":{"noteIndex":0},"schema":"https://github.com/citation-style-language/schema/raw/master/csl-citation.json"}</w:instrText>
      </w:r>
      <w:r w:rsidR="0062162A" w:rsidRPr="00D91ABA">
        <w:rPr>
          <w:lang w:val="en-GB"/>
        </w:rPr>
        <w:fldChar w:fldCharType="separate"/>
      </w:r>
      <w:r w:rsidR="00D638CD" w:rsidRPr="00D91ABA">
        <w:rPr>
          <w:noProof/>
          <w:lang w:val="en-GB"/>
        </w:rPr>
        <w:t>[10,11]</w:t>
      </w:r>
      <w:r w:rsidR="0062162A" w:rsidRPr="00D91ABA">
        <w:rPr>
          <w:lang w:val="en-GB"/>
        </w:rPr>
        <w:fldChar w:fldCharType="end"/>
      </w:r>
      <w:r w:rsidR="00F60362" w:rsidRPr="00D91ABA">
        <w:rPr>
          <w:lang w:val="en-GB"/>
        </w:rPr>
        <w:t xml:space="preserve"> </w:t>
      </w:r>
      <w:r w:rsidR="00A95DB9" w:rsidRPr="00D91ABA">
        <w:rPr>
          <w:lang w:val="en-GB"/>
        </w:rPr>
        <w:t>and most of them deal with liquid or semi-solid formulations</w:t>
      </w:r>
      <w:r w:rsidR="00913B15" w:rsidRPr="00D91ABA">
        <w:rPr>
          <w:lang w:val="en-GB"/>
        </w:rPr>
        <w:t xml:space="preserve"> </w:t>
      </w:r>
      <w:r w:rsidR="0062162A" w:rsidRPr="00D91ABA">
        <w:rPr>
          <w:lang w:val="en-GB"/>
        </w:rPr>
        <w:fldChar w:fldCharType="begin" w:fldLock="1"/>
      </w:r>
      <w:r w:rsidR="00D638CD" w:rsidRPr="00D91ABA">
        <w:rPr>
          <w:lang w:val="en-GB"/>
        </w:rPr>
        <w:instrText>ADDIN CSL_CITATION {"citationItems":[{"id":"ITEM-1","itemData":{"abstract":"This work studies the applicability of a 96-well-based skin-mimetic artificial membrane permeability model to differentiate between topical pharmaceutical and cosmetic formulations. Results are compared with data obtained from in vitro Franz cell permeability measurements and reveal the applicability of this method to assess cosmetic formulation permeation and speed the discovery process","author":[{"dropping-particle":"","family":"Tsinman","given":"Konstantin","non-dropping-particle":"","parse-names":false,"suffix":""},{"dropping-particle":"","family":"Sinkó","given":"Bálint","non-dropping-particle":"","parse-names":false,"suffix":""}],"container-title":"Cosmetics &amp; Toiletries","id":"ITEM-1","issue":"3","issued":{"date-parts":[["2013"]]},"page":"192-199","title":"A High Throughput Method to Predict Skin Penetration and Screen Topical Formulations","type":"article-journal","volume":"128"},"uris":["http://www.mendeley.com/documents/?uuid=a0cd54b4-c24e-48dd-b5a8-35276e5155c8"]},{"id":"ITEM-2","itemData":{"DOI":"10.1016/j.ijpharm.2016.03.043","ISSN":"18733476","abstract":"Human skin remains the membrane of choice when conducting in vitro studies to determine dermal penetration of active pharmaceutical ingredients or xenobiotics. However there are ethical and safety issues associated with obtaining human tissue. For these reasons synthetic membranes, cell culture models or in silico predictive algorithms have been researched intensively as alternative approaches to predict dermal exposure in man. Porcine skin has also been recommended as an acceptable surrogate for topical or transdermal delivery research. Here we examine the in vitro permeation of a model active, ibuprofen, using human or porcine skin, as well as the Parallel Artificial Membrane Permeation Assay (PAMPA) model and silicone membrane. Finite dose studies were conducted in all models using commercial ibuprofen formulations and simple volatile ibuprofen solutions. The dose applied in the PAMPA model was also varied in order to determine the amount of applied formulation which best simulates typical amounts of topical products applied by patients or consumers. Permeation studies were conducted up to 6 h for PAMPA and silicone and up to 48 h for human and porcine skin. Cumulative amounts permeated at 6 h were comparable for PAMPA and silicone, ranging from 91 to 136 μg/cm 2 across the range of formulations studied. At 48 h, maximum ibuprofen permeation in human skin ranged from 11 to 38 μg/cm 2 and corresponding values in porcine skin were 59-81 μg/cm 2 . A dose of 1 μL was confirmed as appropriate for finite dose studies in the PAMPA model. The formulation which delivered the greatest amount of ibuprofen in human skin was also significantly more efficient than other formulations when evaluated in the PAMPA model. The PAMPA model also discriminated between different formulation types (i.e. gel versus solution) compared with other models. Overall, the results confirm the more permeable nature of the PAMPA, silicone membrane and porcine tissue models to ibuprofen compared with human skin. Further finite dose studies to elucidate the effects of individual excipients on the barrier properties of the PAMPA model are needed to expand the applications of this model. The range of actives that are suitable for study using the model also needs to be delineated.","author":[{"dropping-particle":"","family":"Luo","given":"Lin","non-dropping-particle":"","parse-names":false,"suffix":""},{"dropping-particle":"","family":"Patel","given":"Avnish","non-dropping-particle":"","parse-names":false,"suffix":""},{"dropping-particle":"","family":"Sinko","given":"Balint","non-dropping-particle":"","parse-names":false,"suffix":""},{"dropping-particle":"","family":"Bell","given":"Michael","non-dropping-particle":"","parse-names":false,"suffix":""},{"dropping-particle":"","family":"Wibawa","given":"Judata","non-dropping-particle":"","parse-names":false,"suffix":""},{"dropping-particle":"","family":"Hadgraft","given":"Jonathan","non-dropping-particle":"","parse-names":false,"suffix":""},{"dropping-particle":"","family":"Lane","given":"Majella E.","non-dropping-particle":"","parse-names":false,"suffix":""}],"container-title":"International Journal of Pharmaceutics","id":"ITEM-2","issue":"1-2","issued":{"date-parts":[["2016"]]},"page":"14-19","publisher":"Elsevier B.V.","title":"A comparative study of the in vitro permeation of ibuprofen in mammalian skin, the PAMPA model and silicone membrane","type":"article-journal","volume":"505"},"uris":["http://www.mendeley.com/documents/?uuid=1d98be22-c904-4128-98bc-e987208ebd25"]}],"mendeley":{"formattedCitation":"[12], [13]","manualFormatting":"[12,13]","plainTextFormattedCitation":"[12], [13]","previouslyFormattedCitation":"[12], [13]"},"properties":{"noteIndex":0},"schema":"https://github.com/citation-style-language/schema/raw/master/csl-citation.json"}</w:instrText>
      </w:r>
      <w:r w:rsidR="0062162A" w:rsidRPr="00D91ABA">
        <w:rPr>
          <w:lang w:val="en-GB"/>
        </w:rPr>
        <w:fldChar w:fldCharType="separate"/>
      </w:r>
      <w:r w:rsidR="007E0261" w:rsidRPr="00D91ABA">
        <w:rPr>
          <w:noProof/>
          <w:lang w:val="en-GB"/>
        </w:rPr>
        <w:t>[12,13]</w:t>
      </w:r>
      <w:r w:rsidR="0062162A" w:rsidRPr="00D91ABA">
        <w:rPr>
          <w:lang w:val="en-GB"/>
        </w:rPr>
        <w:fldChar w:fldCharType="end"/>
      </w:r>
      <w:r w:rsidR="00A95DB9" w:rsidRPr="00D91ABA">
        <w:rPr>
          <w:lang w:val="en-GB"/>
        </w:rPr>
        <w:t xml:space="preserve"> and transdermal patches</w:t>
      </w:r>
      <w:r w:rsidR="00913B15" w:rsidRPr="00D91ABA">
        <w:rPr>
          <w:lang w:val="en-GB"/>
        </w:rPr>
        <w:t xml:space="preserve"> </w:t>
      </w:r>
      <w:r w:rsidR="00913B15" w:rsidRPr="00D91ABA">
        <w:rPr>
          <w:lang w:val="en-GB"/>
        </w:rPr>
        <w:fldChar w:fldCharType="begin" w:fldLock="1"/>
      </w:r>
      <w:r w:rsidR="00913B15" w:rsidRPr="00D91ABA">
        <w:rPr>
          <w:lang w:val="en-GB"/>
        </w:rPr>
        <w:instrText>ADDIN CSL_CITATION {"citationItems":[{"id":"ITEM-1","itemData":{"DOI":"10.1016/j.ejps.2015.05.004","ISSN":"18790720","abstract":"Using the skin as absorption site presents unique advantages that have facilitated the progression of transdermal drug delivery in the past decades. Efforts in drug research have been devoted to find a quick and reproducible model for predicting the skin permeation of molecules. The Parallel Artificial Membrane Permeability Assay (PAMPA) has been extended for prediction of transdermal permeation by developing a model with completely artificial membrane, which can mimic the permeation through the stratum corneum. The present study aims to extend the Skin PAMPA method for testing transdermal and local therapeutic patches. The original method was modified and seven commercially available transdermal and local therapeutic patches with four different active pharmaceutical ingredients (nicotine, fentanyl, rivastigmine and ketoprofen) were studied. Data were compared to the declared delivery rates that are indicated by the manufacturers. Ex vivo permeation study was also performed in order to compare the permeated amount of the released drugs obtained by the two methods. The flux across the artificial membrane as well as the human skin (ex vivo) has been calculated and compared to the in vivo flux deduced from the labelled delivery rate and the active area of the patches. The results suggest that Skin PAMPA system can serve as a useful tool for evaluation and classification of the transdermal patches.","author":[{"dropping-particle":"","family":"Vizserálek","given":"Gábor","non-dropping-particle":"","parse-names":false,"suffix":""},{"dropping-particle":"","family":"Berkó","given":"Szilvia","non-dropping-particle":"","parse-names":false,"suffix":""},{"dropping-particle":"","family":"Tóth","given":"Gergo","non-dropping-particle":"","parse-names":false,"suffix":""},{"dropping-particle":"","family":"Balogh","given":"Réka","non-dropping-particle":"","parse-names":false,"suffix":""},{"dropping-particle":"","family":"Budai-Szucs","given":"Mária","non-dropping-particle":"","parse-names":false,"suffix":""},{"dropping-particle":"","family":"Csányi","given":"Erzsébet","non-dropping-particle":"","parse-names":false,"suffix":""},{"dropping-particle":"","family":"Sinkó","given":"Bálint","non-dropping-particle":"","parse-names":false,"suffix":""},{"dropping-particle":"","family":"Takács-Novák","given":"Krisztina","non-dropping-particle":"","parse-names":false,"suffix":""}],"container-title":"European Journal of Pharmaceutical Sciences","id":"ITEM-1","issued":{"date-parts":[["2015"]]},"page":"165-172","title":"Permeability test for transdermal and local therapeutic patches using Skin PAMPA method","type":"article-journal","volume":"76"},"uris":["http://www.mendeley.com/documents/?uuid=a6e6d23c-80f8-4768-a812-95d3640e1ebb"]}],"mendeley":{"formattedCitation":"[14]","plainTextFormattedCitation":"[14]","previouslyFormattedCitation":"[14]"},"properties":{"noteIndex":0},"schema":"https://github.com/citation-style-language/schema/raw/master/csl-citation.json"}</w:instrText>
      </w:r>
      <w:r w:rsidR="00913B15" w:rsidRPr="00D91ABA">
        <w:rPr>
          <w:lang w:val="en-GB"/>
        </w:rPr>
        <w:fldChar w:fldCharType="separate"/>
      </w:r>
      <w:r w:rsidR="00913B15" w:rsidRPr="00D91ABA">
        <w:rPr>
          <w:noProof/>
          <w:lang w:val="en-GB"/>
        </w:rPr>
        <w:t>[14]</w:t>
      </w:r>
      <w:r w:rsidR="00913B15" w:rsidRPr="00D91ABA">
        <w:rPr>
          <w:lang w:val="en-GB"/>
        </w:rPr>
        <w:fldChar w:fldCharType="end"/>
      </w:r>
      <w:r w:rsidR="00A95DB9" w:rsidRPr="00D91ABA">
        <w:rPr>
          <w:lang w:val="en-GB"/>
        </w:rPr>
        <w:t xml:space="preserve">. </w:t>
      </w:r>
      <w:r w:rsidRPr="00D91ABA">
        <w:rPr>
          <w:lang w:val="en-GB"/>
        </w:rPr>
        <w:t xml:space="preserve">However, </w:t>
      </w:r>
      <w:r w:rsidR="00A95DB9" w:rsidRPr="00D91ABA">
        <w:rPr>
          <w:lang w:val="en-GB"/>
        </w:rPr>
        <w:t xml:space="preserve">permeability studies of compounds in solution are very important when the permeation properties of API are investigated. The protocol of these studies depends on the </w:t>
      </w:r>
      <w:proofErr w:type="spellStart"/>
      <w:r w:rsidR="00A95DB9" w:rsidRPr="00D91ABA">
        <w:rPr>
          <w:lang w:val="en-GB"/>
        </w:rPr>
        <w:t>physico</w:t>
      </w:r>
      <w:proofErr w:type="spellEnd"/>
      <w:r w:rsidR="00A95DB9" w:rsidRPr="00D91ABA">
        <w:rPr>
          <w:lang w:val="en-GB"/>
        </w:rPr>
        <w:t xml:space="preserve">-chemical parameters of the API and the composition of the membrane. Since the </w:t>
      </w:r>
      <w:r w:rsidR="00203C0B" w:rsidRPr="00D91ABA">
        <w:rPr>
          <w:lang w:val="en-GB"/>
        </w:rPr>
        <w:t>skin-</w:t>
      </w:r>
      <w:r w:rsidR="00A95DB9" w:rsidRPr="00D91ABA">
        <w:rPr>
          <w:lang w:val="en-GB"/>
        </w:rPr>
        <w:t xml:space="preserve">PAMPA membrane contains different components and is more resistive compared to other PAMPA membranes, protocol differences as incubation time are expected. The reason for this is that PAMPA membranes are composed mostly of lipophilic components and hence lipophilic compounds can cross them quickly. </w:t>
      </w:r>
      <w:r w:rsidR="00E3417E" w:rsidRPr="00D91ABA">
        <w:rPr>
          <w:lang w:val="en-GB"/>
        </w:rPr>
        <w:t>However, s</w:t>
      </w:r>
      <w:r w:rsidR="00203C0B" w:rsidRPr="00D91ABA">
        <w:rPr>
          <w:lang w:val="en-GB"/>
        </w:rPr>
        <w:t>kin-</w:t>
      </w:r>
      <w:r w:rsidR="00A95DB9" w:rsidRPr="00D91ABA">
        <w:rPr>
          <w:lang w:val="en-GB"/>
        </w:rPr>
        <w:t xml:space="preserve">PAMPA consists of lipophilic and hydrophilic moieties, so permeable compounds are likely to cross both lipophilic and hydrophilic domains </w:t>
      </w:r>
      <w:r w:rsidR="00F60362" w:rsidRPr="00D91ABA">
        <w:rPr>
          <w:lang w:val="en-GB"/>
        </w:rPr>
        <w:fldChar w:fldCharType="begin" w:fldLock="1"/>
      </w:r>
      <w:r w:rsidR="003F22CB" w:rsidRPr="00D91ABA">
        <w:rPr>
          <w:lang w:val="en-GB"/>
        </w:rPr>
        <w:instrText>ADDIN CSL_CITATION {"citationItems":[{"id":"ITEM-1","itemData":{"DOI":"10.1016/j.ejps.2012.01.011","ISSN":"09280987","author":[{"dropping-particle":"","family":"Sinkó","given":"Bálint","non-dropping-particle":"","parse-names":false,"suffix":""},{"dropping-particle":"","family":"Garrigues","given":"Teresa M.","non-dropping-particle":"","parse-names":false,"suffix":""},{"dropping-particle":"","family":"Balogh","given":"György T.","non-dropping-particle":"","parse-names":false,"suffix":""},{"dropping-particle":"","family":"Nagy","given":"Zsombor K.","non-dropping-particle":"","parse-names":false,"suffix":""},{"dropping-particle":"","family":"Tsinman","given":"Oksana","non-dropping-particle":"","parse-names":false,"suffix":""},{"dropping-particle":"","family":"Avdeef","given":"Alex","non-dropping-particle":"","parse-names":false,"suffix":""},{"dropping-particle":"","family":"Takács-Novák","given":"Krisztina","non-dropping-particle":"","parse-names":false,"suffix":""}],"container-title":"European Journal of Pharmaceutical Sciences","id":"ITEM-1","issue":"5","issued":{"date-parts":[["2012","4"]]},"page":"698-707","title":"Skin–PAMPA: A new method for fast prediction of skin penetration","type":"article-journal","volume":"45"},"uris":["http://www.mendeley.com/documents/?uuid=dae869bd-3faa-44b2-9f03-7a643799aec6"]}],"mendeley":{"formattedCitation":"[10]","plainTextFormattedCitation":"[10]","previouslyFormattedCitation":"[10]"},"properties":{"noteIndex":0},"schema":"https://github.com/citation-style-language/schema/raw/master/csl-citation.json"}</w:instrText>
      </w:r>
      <w:r w:rsidR="00F60362" w:rsidRPr="00D91ABA">
        <w:rPr>
          <w:lang w:val="en-GB"/>
        </w:rPr>
        <w:fldChar w:fldCharType="separate"/>
      </w:r>
      <w:r w:rsidR="00F60362" w:rsidRPr="00D91ABA">
        <w:rPr>
          <w:noProof/>
          <w:lang w:val="en-GB"/>
        </w:rPr>
        <w:t>[10]</w:t>
      </w:r>
      <w:r w:rsidR="00F60362" w:rsidRPr="00D91ABA">
        <w:rPr>
          <w:lang w:val="en-GB"/>
        </w:rPr>
        <w:fldChar w:fldCharType="end"/>
      </w:r>
      <w:r w:rsidR="00A95DB9" w:rsidRPr="00D91ABA">
        <w:rPr>
          <w:lang w:val="en-GB"/>
        </w:rPr>
        <w:t xml:space="preserve">. </w:t>
      </w:r>
      <w:r w:rsidRPr="00D91ABA">
        <w:rPr>
          <w:lang w:val="en-GB"/>
        </w:rPr>
        <w:t>Another</w:t>
      </w:r>
      <w:r w:rsidR="00A95DB9" w:rsidRPr="00D91ABA">
        <w:rPr>
          <w:lang w:val="en-GB"/>
        </w:rPr>
        <w:t xml:space="preserve"> parameter that also depends on the composition membrane and </w:t>
      </w:r>
      <w:proofErr w:type="spellStart"/>
      <w:r w:rsidR="00A95DB9" w:rsidRPr="00D91ABA">
        <w:rPr>
          <w:lang w:val="en-GB"/>
        </w:rPr>
        <w:t>physico</w:t>
      </w:r>
      <w:proofErr w:type="spellEnd"/>
      <w:r w:rsidR="00A95DB9" w:rsidRPr="00D91ABA">
        <w:rPr>
          <w:lang w:val="en-GB"/>
        </w:rPr>
        <w:t xml:space="preserve">-chemical properties of the API is the unstirred water layer (UWL), which is formed around both sides of the lipophilic membrane. The permeation process in PAMPA assays may be limited by the UWL, especially for lipophilic compounds. The water layer can act as rate-limiting transport giving smaller permeability values. To solve this, the stirring </w:t>
      </w:r>
      <w:r w:rsidR="00BE13B8" w:rsidRPr="00D91ABA">
        <w:rPr>
          <w:lang w:val="en-GB"/>
        </w:rPr>
        <w:t>decreases</w:t>
      </w:r>
      <w:r w:rsidR="00A95DB9" w:rsidRPr="00D91ABA">
        <w:rPr>
          <w:lang w:val="en-GB"/>
        </w:rPr>
        <w:t xml:space="preserve"> the UWL thickness </w:t>
      </w:r>
      <w:r w:rsidR="00BE13B8" w:rsidRPr="00D91ABA">
        <w:rPr>
          <w:lang w:val="en-GB"/>
        </w:rPr>
        <w:t>and thus</w:t>
      </w:r>
      <w:r w:rsidR="00A95DB9" w:rsidRPr="00D91ABA">
        <w:rPr>
          <w:lang w:val="en-GB"/>
        </w:rPr>
        <w:t xml:space="preserve"> the resistance of the water layer less of a contribution to the measured permeability</w:t>
      </w:r>
      <w:r w:rsidR="00F60362" w:rsidRPr="00D91ABA">
        <w:rPr>
          <w:lang w:val="en-GB"/>
        </w:rPr>
        <w:t xml:space="preserve"> </w:t>
      </w:r>
      <w:r w:rsidR="003F22CB" w:rsidRPr="00D91ABA">
        <w:rPr>
          <w:lang w:val="en-GB"/>
        </w:rPr>
        <w:fldChar w:fldCharType="begin" w:fldLock="1"/>
      </w:r>
      <w:r w:rsidR="00913B15" w:rsidRPr="00D91ABA">
        <w:rPr>
          <w:lang w:val="en-GB"/>
        </w:rPr>
        <w:instrText>ADDIN CSL_CITATION {"citationItems":[{"id":"ITEM-1","itemData":{"DOI":"10.1016/j.ejps.2004.04.009","ISSN":"09280987","author":[{"dropping-particle":"","family":"Avdeef","given":"Alex","non-dropping-particle":"","parse-names":false,"suffix":""},{"dropping-particle":"","family":"Nielsen","given":"Per E","non-dropping-particle":"","parse-names":false,"suffix":""},{"dropping-particle":"","family":"Tsinman","given":"Oksana","non-dropping-particle":"","parse-names":false,"suffix":""}],"container-title":"European Journal of Pharmaceutical Sciences","id":"ITEM-1","issue":"5","issued":{"date-parts":[["2004","8"]]},"page":"365-374","title":"PAMPA-A drug absorption in vitro model 11. Matching the in vivo unstirred water layer thickness by individual-well stirring in microtitre plates","type":"article-journal","volume":"22"},"uris":["http://www.mendeley.com/documents/?uuid=b5f722bc-e70e-4a4b-ad6f-2b1271d6cc6f"]}],"mendeley":{"formattedCitation":"[15]","plainTextFormattedCitation":"[15]","previouslyFormattedCitation":"[15]"},"properties":{"noteIndex":0},"schema":"https://github.com/citation-style-language/schema/raw/master/csl-citation.json"}</w:instrText>
      </w:r>
      <w:r w:rsidR="003F22CB" w:rsidRPr="00D91ABA">
        <w:rPr>
          <w:lang w:val="en-GB"/>
        </w:rPr>
        <w:fldChar w:fldCharType="separate"/>
      </w:r>
      <w:r w:rsidR="00913B15" w:rsidRPr="00D91ABA">
        <w:rPr>
          <w:noProof/>
          <w:lang w:val="en-GB"/>
        </w:rPr>
        <w:t>[15]</w:t>
      </w:r>
      <w:r w:rsidR="003F22CB" w:rsidRPr="00D91ABA">
        <w:rPr>
          <w:lang w:val="en-GB"/>
        </w:rPr>
        <w:fldChar w:fldCharType="end"/>
      </w:r>
      <w:r w:rsidR="00A95DB9" w:rsidRPr="00D91ABA">
        <w:rPr>
          <w:lang w:val="en-GB"/>
        </w:rPr>
        <w:t>. The use of the oblate stir disk</w:t>
      </w:r>
      <w:r w:rsidR="00E02273">
        <w:rPr>
          <w:lang w:val="en-GB"/>
        </w:rPr>
        <w:t>s (</w:t>
      </w:r>
      <w:r w:rsidR="00A95DB9" w:rsidRPr="00D91ABA">
        <w:rPr>
          <w:lang w:val="en-GB"/>
        </w:rPr>
        <w:t>flippers), rotat</w:t>
      </w:r>
      <w:r w:rsidR="00E3417E" w:rsidRPr="00D91ABA">
        <w:rPr>
          <w:lang w:val="en-GB"/>
        </w:rPr>
        <w:t>ing in a</w:t>
      </w:r>
      <w:r w:rsidR="00A95DB9" w:rsidRPr="00D91ABA">
        <w:rPr>
          <w:lang w:val="en-GB"/>
        </w:rPr>
        <w:t xml:space="preserve"> horizontal axis parallel to the plane of the </w:t>
      </w:r>
      <w:proofErr w:type="spellStart"/>
      <w:r w:rsidR="00A95DB9" w:rsidRPr="00D91ABA">
        <w:rPr>
          <w:lang w:val="en-GB"/>
        </w:rPr>
        <w:t>microtitre</w:t>
      </w:r>
      <w:proofErr w:type="spellEnd"/>
      <w:r w:rsidR="00A95DB9" w:rsidRPr="00D91ABA">
        <w:rPr>
          <w:lang w:val="en-GB"/>
        </w:rPr>
        <w:t xml:space="preserve"> plates, proved to be the most efficient stirring mechanism ever reported in </w:t>
      </w:r>
      <w:proofErr w:type="spellStart"/>
      <w:r w:rsidR="00A95DB9" w:rsidRPr="00D91ABA">
        <w:rPr>
          <w:lang w:val="en-GB"/>
        </w:rPr>
        <w:t>microtitre</w:t>
      </w:r>
      <w:proofErr w:type="spellEnd"/>
      <w:r w:rsidR="00A95DB9" w:rsidRPr="00D91ABA">
        <w:rPr>
          <w:lang w:val="en-GB"/>
        </w:rPr>
        <w:t xml:space="preserve"> plate permeation assays</w:t>
      </w:r>
      <w:r w:rsidR="003F22CB" w:rsidRPr="00D91ABA">
        <w:rPr>
          <w:lang w:val="en-GB"/>
        </w:rPr>
        <w:t xml:space="preserve"> </w:t>
      </w:r>
      <w:r w:rsidR="003F22CB" w:rsidRPr="00D91ABA">
        <w:rPr>
          <w:lang w:val="en-GB"/>
        </w:rPr>
        <w:fldChar w:fldCharType="begin" w:fldLock="1"/>
      </w:r>
      <w:r w:rsidR="00913B15" w:rsidRPr="00D91ABA">
        <w:rPr>
          <w:lang w:val="en-GB"/>
        </w:rPr>
        <w:instrText>ADDIN CSL_CITATION {"citationItems":[{"id":"ITEM-1","itemData":{"DOI":"10.1016/j.ejps.2004.04.009","ISSN":"09280987","author":[{"dropping-particle":"","family":"Avdeef","given":"Alex","non-dropping-particle":"","parse-names":false,"suffix":""},{"dropping-particle":"","family":"Nielsen","given":"Per E","non-dropping-particle":"","parse-names":false,"suffix":""},{"dropping-particle":"","family":"Tsinman","given":"Oksana","non-dropping-particle":"","parse-names":false,"suffix":""}],"container-title":"European Journal of Pharmaceutical Sciences","id":"ITEM-1","issue":"5","issued":{"date-parts":[["2004","8"]]},"page":"365-374","title":"PAMPA-A drug absorption in vitro model 11. Matching the in vivo unstirred water layer thickness by individual-well stirring in microtitre plates","type":"article-journal","volume":"22"},"uris":["http://www.mendeley.com/documents/?uuid=b5f722bc-e70e-4a4b-ad6f-2b1271d6cc6f"]}],"mendeley":{"formattedCitation":"[15]","plainTextFormattedCitation":"[15]","previouslyFormattedCitation":"[15]"},"properties":{"noteIndex":0},"schema":"https://github.com/citation-style-language/schema/raw/master/csl-citation.json"}</w:instrText>
      </w:r>
      <w:r w:rsidR="003F22CB" w:rsidRPr="00D91ABA">
        <w:rPr>
          <w:lang w:val="en-GB"/>
        </w:rPr>
        <w:fldChar w:fldCharType="separate"/>
      </w:r>
      <w:r w:rsidR="00913B15" w:rsidRPr="00D91ABA">
        <w:rPr>
          <w:noProof/>
          <w:lang w:val="en-GB"/>
        </w:rPr>
        <w:t>[15]</w:t>
      </w:r>
      <w:r w:rsidR="003F22CB" w:rsidRPr="00D91ABA">
        <w:rPr>
          <w:lang w:val="en-GB"/>
        </w:rPr>
        <w:fldChar w:fldCharType="end"/>
      </w:r>
      <w:r w:rsidR="00A95DB9" w:rsidRPr="00D91ABA">
        <w:rPr>
          <w:lang w:val="en-GB"/>
        </w:rPr>
        <w:t xml:space="preserve">. </w:t>
      </w:r>
    </w:p>
    <w:p w14:paraId="3CD44633" w14:textId="37B50989" w:rsidR="004B2111" w:rsidRPr="00D91ABA" w:rsidRDefault="00412AA4" w:rsidP="00D91ABA">
      <w:pPr>
        <w:pStyle w:val="ADMETtext"/>
        <w:rPr>
          <w:lang w:val="en-GB"/>
        </w:rPr>
      </w:pPr>
      <w:r w:rsidRPr="00D91ABA">
        <w:rPr>
          <w:lang w:val="en-GB"/>
        </w:rPr>
        <w:t>Another</w:t>
      </w:r>
      <w:r w:rsidR="006F17DC" w:rsidRPr="00D91ABA">
        <w:rPr>
          <w:lang w:val="en-GB"/>
        </w:rPr>
        <w:t xml:space="preserve"> feature to </w:t>
      </w:r>
      <w:r w:rsidR="003B01F4" w:rsidRPr="00D91ABA">
        <w:rPr>
          <w:lang w:val="en-GB"/>
        </w:rPr>
        <w:t>consider</w:t>
      </w:r>
      <w:r w:rsidR="006F17DC" w:rsidRPr="00D91ABA">
        <w:rPr>
          <w:lang w:val="en-GB"/>
        </w:rPr>
        <w:t xml:space="preserve"> is the </w:t>
      </w:r>
      <w:r w:rsidR="004A4F6C" w:rsidRPr="00D91ABA">
        <w:rPr>
          <w:lang w:val="en-GB"/>
        </w:rPr>
        <w:t xml:space="preserve">stability </w:t>
      </w:r>
      <w:r w:rsidR="006F17DC" w:rsidRPr="00D91ABA">
        <w:rPr>
          <w:lang w:val="en-GB"/>
        </w:rPr>
        <w:t xml:space="preserve">of the membrane. </w:t>
      </w:r>
      <w:r w:rsidR="0056195A" w:rsidRPr="00D91ABA">
        <w:rPr>
          <w:lang w:val="en-GB"/>
        </w:rPr>
        <w:t>Human s</w:t>
      </w:r>
      <w:r w:rsidR="00D2427B" w:rsidRPr="00D91ABA">
        <w:rPr>
          <w:lang w:val="en-GB"/>
        </w:rPr>
        <w:t xml:space="preserve">kin pH is normally </w:t>
      </w:r>
      <w:r w:rsidR="00BE13B8" w:rsidRPr="00D91ABA">
        <w:rPr>
          <w:lang w:val="en-GB"/>
        </w:rPr>
        <w:t xml:space="preserve">slightly </w:t>
      </w:r>
      <w:r w:rsidR="00D2427B" w:rsidRPr="00D91ABA">
        <w:rPr>
          <w:lang w:val="en-GB"/>
        </w:rPr>
        <w:t xml:space="preserve">acidic, values between 4 and 6, while the body’s internal environment </w:t>
      </w:r>
      <w:r w:rsidR="00BE13B8" w:rsidRPr="00D91ABA">
        <w:rPr>
          <w:lang w:val="en-GB"/>
        </w:rPr>
        <w:t xml:space="preserve">mainly </w:t>
      </w:r>
      <w:r w:rsidR="00D2427B" w:rsidRPr="00D91ABA">
        <w:rPr>
          <w:lang w:val="en-GB"/>
        </w:rPr>
        <w:t xml:space="preserve">maintains a neutral </w:t>
      </w:r>
      <w:proofErr w:type="spellStart"/>
      <w:r w:rsidR="00D2427B" w:rsidRPr="00D91ABA">
        <w:rPr>
          <w:lang w:val="en-GB"/>
        </w:rPr>
        <w:t>pH</w:t>
      </w:r>
      <w:r w:rsidR="003B01F4" w:rsidRPr="00D91ABA">
        <w:rPr>
          <w:lang w:val="en-GB"/>
        </w:rPr>
        <w:t>.</w:t>
      </w:r>
      <w:proofErr w:type="spellEnd"/>
      <w:r w:rsidR="00AD121D" w:rsidRPr="00D91ABA">
        <w:rPr>
          <w:lang w:val="en-GB"/>
        </w:rPr>
        <w:t xml:space="preserve"> Fatty acids found in the lipid bilayer exist </w:t>
      </w:r>
      <w:r w:rsidRPr="00D91ABA">
        <w:rPr>
          <w:lang w:val="en-GB"/>
        </w:rPr>
        <w:t>in the ne</w:t>
      </w:r>
      <w:r w:rsidR="00C12900" w:rsidRPr="00D91ABA">
        <w:rPr>
          <w:lang w:val="en-GB"/>
        </w:rPr>
        <w:t>utral</w:t>
      </w:r>
      <w:r w:rsidR="00AD121D" w:rsidRPr="00D91ABA">
        <w:rPr>
          <w:lang w:val="en-GB"/>
        </w:rPr>
        <w:t xml:space="preserve"> or ionic </w:t>
      </w:r>
      <w:r w:rsidR="00AD121D" w:rsidRPr="00D91ABA">
        <w:t>form</w:t>
      </w:r>
      <w:r w:rsidRPr="00D91ABA">
        <w:t>s</w:t>
      </w:r>
      <w:r w:rsidR="00AD121D" w:rsidRPr="00D91ABA">
        <w:rPr>
          <w:lang w:val="en-GB"/>
        </w:rPr>
        <w:t xml:space="preserve"> depending on the </w:t>
      </w:r>
      <w:r w:rsidR="003B01F4" w:rsidRPr="00D91ABA">
        <w:rPr>
          <w:lang w:val="en-GB"/>
        </w:rPr>
        <w:t>pH,</w:t>
      </w:r>
      <w:r w:rsidR="00AD121D" w:rsidRPr="00D91ABA">
        <w:rPr>
          <w:lang w:val="en-GB"/>
        </w:rPr>
        <w:t xml:space="preserve"> so they also contribute </w:t>
      </w:r>
      <w:r w:rsidRPr="00D91ABA">
        <w:rPr>
          <w:lang w:val="en-GB"/>
        </w:rPr>
        <w:t>to</w:t>
      </w:r>
      <w:r w:rsidR="00AD121D" w:rsidRPr="00D91ABA">
        <w:rPr>
          <w:lang w:val="en-GB"/>
        </w:rPr>
        <w:t xml:space="preserve"> the ionization of the membrane. At the SC surface, pH 5 causes minimal head‐group repulsion and promotes a bilayer structure. The pH 7 in the innermost SC layers produces 90</w:t>
      </w:r>
      <w:r w:rsidR="004B5568">
        <w:rPr>
          <w:lang w:val="en-GB"/>
        </w:rPr>
        <w:t xml:space="preserve"> </w:t>
      </w:r>
      <w:r w:rsidR="00AD121D" w:rsidRPr="00D91ABA">
        <w:rPr>
          <w:lang w:val="en-GB"/>
        </w:rPr>
        <w:t xml:space="preserve">% ionization of the fatty acids leading to head‐group repulsion. </w:t>
      </w:r>
      <w:bookmarkStart w:id="1" w:name="_Hlk20831311"/>
      <w:r w:rsidR="00AD121D" w:rsidRPr="00D91ABA">
        <w:rPr>
          <w:lang w:val="en-GB"/>
        </w:rPr>
        <w:t>An increase of the pH leads to increase head‐group repulsion, disturbing epidermal lipid lamella and thus impairing barrier function</w:t>
      </w:r>
      <w:r w:rsidR="00950099" w:rsidRPr="00D91ABA">
        <w:rPr>
          <w:lang w:val="en-GB"/>
        </w:rPr>
        <w:t xml:space="preserve"> </w:t>
      </w:r>
      <w:r w:rsidR="00950099" w:rsidRPr="00D91ABA">
        <w:rPr>
          <w:lang w:val="en-GB"/>
        </w:rPr>
        <w:fldChar w:fldCharType="begin" w:fldLock="1"/>
      </w:r>
      <w:r w:rsidR="00913B15" w:rsidRPr="00D91ABA">
        <w:rPr>
          <w:lang w:val="en-GB"/>
        </w:rPr>
        <w:instrText>ADDIN CSL_CITATION {"citationItems":[{"id":"ITEM-1","itemData":{"author":[{"dropping-particle":"","family":"Lieckfeldt","given":"R","non-dropping-particle":"","parse-names":false,"suffix":""},{"dropping-particle":"","family":"Villalaín","given":"J","non-dropping-particle":"","parse-names":false,"suffix":""},{"dropping-particle":"","family":"Gómez-Fernández","given":"J.C.","non-dropping-particle":"","parse-names":false,"suffix":""},{"dropping-particle":"","family":"Lee","given":"G","non-dropping-particle":"","parse-names":false,"suffix":""}],"container-title":"Pharmaceutical Research","id":"ITEM-1","issue":"11","issued":{"date-parts":[["1995"]]},"page":"1614-1617","title":"Apparent pKa of the fatty acids within ordered mixtures of model human stratum corneum lipids","type":"article-journal","volume":"12"},"uris":["http://www.mendeley.com/documents/?uuid=b20c8c29-e19f-4cfb-adc6-7061f015445e"]}],"mendeley":{"formattedCitation":"[16]","plainTextFormattedCitation":"[16]","previouslyFormattedCitation":"[16]"},"properties":{"noteIndex":0},"schema":"https://github.com/citation-style-language/schema/raw/master/csl-citation.json"}</w:instrText>
      </w:r>
      <w:r w:rsidR="00950099" w:rsidRPr="00D91ABA">
        <w:rPr>
          <w:lang w:val="en-GB"/>
        </w:rPr>
        <w:fldChar w:fldCharType="separate"/>
      </w:r>
      <w:r w:rsidR="00913B15" w:rsidRPr="00D91ABA">
        <w:rPr>
          <w:noProof/>
          <w:lang w:val="en-GB"/>
        </w:rPr>
        <w:t>[16]</w:t>
      </w:r>
      <w:r w:rsidR="00950099" w:rsidRPr="00D91ABA">
        <w:rPr>
          <w:lang w:val="en-GB"/>
        </w:rPr>
        <w:fldChar w:fldCharType="end"/>
      </w:r>
      <w:r w:rsidR="00AD121D" w:rsidRPr="00D91ABA">
        <w:rPr>
          <w:lang w:val="en-GB"/>
        </w:rPr>
        <w:t xml:space="preserve">. </w:t>
      </w:r>
      <w:bookmarkEnd w:id="1"/>
      <w:r w:rsidRPr="00D91ABA">
        <w:rPr>
          <w:lang w:val="en-GB"/>
        </w:rPr>
        <w:t>As m</w:t>
      </w:r>
      <w:r w:rsidR="00AD121D" w:rsidRPr="00D91ABA">
        <w:rPr>
          <w:lang w:val="en-GB"/>
        </w:rPr>
        <w:t xml:space="preserve">ost of the drugs are weak acids or weak bases, </w:t>
      </w:r>
      <w:r w:rsidRPr="00D91ABA">
        <w:rPr>
          <w:lang w:val="en-GB"/>
        </w:rPr>
        <w:t xml:space="preserve">it </w:t>
      </w:r>
      <w:r w:rsidR="00AD121D" w:rsidRPr="00D91ABA">
        <w:rPr>
          <w:lang w:val="en-GB"/>
        </w:rPr>
        <w:t xml:space="preserve">is relevant to study the influence of the pH </w:t>
      </w:r>
      <w:r w:rsidR="00C84317" w:rsidRPr="00D91ABA">
        <w:rPr>
          <w:lang w:val="en-GB"/>
        </w:rPr>
        <w:t>on permeability. To this end</w:t>
      </w:r>
      <w:r w:rsidR="002B4CE0">
        <w:rPr>
          <w:lang w:val="en-GB"/>
        </w:rPr>
        <w:t>,</w:t>
      </w:r>
      <w:r w:rsidR="00C84317" w:rsidRPr="00D91ABA">
        <w:rPr>
          <w:lang w:val="en-GB"/>
        </w:rPr>
        <w:t xml:space="preserve"> it is necessary </w:t>
      </w:r>
      <w:r w:rsidR="0072182F" w:rsidRPr="00D91ABA">
        <w:rPr>
          <w:lang w:val="en-GB"/>
        </w:rPr>
        <w:t xml:space="preserve">to study the </w:t>
      </w:r>
      <w:r w:rsidR="004A4F6C" w:rsidRPr="00D91ABA">
        <w:rPr>
          <w:lang w:val="en-GB"/>
        </w:rPr>
        <w:t>stability</w:t>
      </w:r>
      <w:r w:rsidR="0072182F" w:rsidRPr="00D91ABA">
        <w:rPr>
          <w:lang w:val="en-GB"/>
        </w:rPr>
        <w:t xml:space="preserve"> of the </w:t>
      </w:r>
      <w:r w:rsidR="00203C0B" w:rsidRPr="00D91ABA">
        <w:rPr>
          <w:lang w:val="en-GB"/>
        </w:rPr>
        <w:t>skin-</w:t>
      </w:r>
      <w:r w:rsidR="0072182F" w:rsidRPr="00D91ABA">
        <w:rPr>
          <w:lang w:val="en-GB"/>
        </w:rPr>
        <w:t xml:space="preserve">PAMPA membrane </w:t>
      </w:r>
      <w:r w:rsidR="00D637CC" w:rsidRPr="00D91ABA">
        <w:rPr>
          <w:lang w:val="en-GB"/>
        </w:rPr>
        <w:t xml:space="preserve">at different pH values, especially at basic </w:t>
      </w:r>
      <w:proofErr w:type="spellStart"/>
      <w:proofErr w:type="gramStart"/>
      <w:r w:rsidR="00D637CC" w:rsidRPr="00D91ABA">
        <w:rPr>
          <w:lang w:val="en-GB"/>
        </w:rPr>
        <w:t>pHs</w:t>
      </w:r>
      <w:proofErr w:type="spellEnd"/>
      <w:proofErr w:type="gramEnd"/>
      <w:r w:rsidR="00D637CC" w:rsidRPr="00D91ABA">
        <w:rPr>
          <w:lang w:val="en-GB"/>
        </w:rPr>
        <w:t>.</w:t>
      </w:r>
      <w:r w:rsidR="00BE13B8" w:rsidRPr="00D91ABA">
        <w:rPr>
          <w:lang w:val="en-GB"/>
        </w:rPr>
        <w:t xml:space="preserve"> </w:t>
      </w:r>
    </w:p>
    <w:p w14:paraId="5B66D7E7" w14:textId="373BA9FB" w:rsidR="00BE13B8" w:rsidRPr="00D91ABA" w:rsidRDefault="004B2111" w:rsidP="00D91ABA">
      <w:pPr>
        <w:pStyle w:val="ADMETtext"/>
        <w:rPr>
          <w:lang w:val="en-GB"/>
        </w:rPr>
      </w:pPr>
      <w:r w:rsidRPr="00D91ABA">
        <w:rPr>
          <w:lang w:val="en-GB"/>
        </w:rPr>
        <w:lastRenderedPageBreak/>
        <w:t xml:space="preserve">In order to establish the optimal assay </w:t>
      </w:r>
      <w:r w:rsidRPr="00D91ABA">
        <w:t>conditions</w:t>
      </w:r>
      <w:r w:rsidRPr="00D91ABA">
        <w:rPr>
          <w:lang w:val="en-GB"/>
        </w:rPr>
        <w:t xml:space="preserve"> to generate quality data for </w:t>
      </w:r>
      <w:r w:rsidR="002B4CE0">
        <w:rPr>
          <w:lang w:val="en-GB"/>
        </w:rPr>
        <w:t xml:space="preserve">the </w:t>
      </w:r>
      <w:r w:rsidRPr="00D91ABA">
        <w:rPr>
          <w:lang w:val="en-GB"/>
        </w:rPr>
        <w:t>screening of API in early stage drug discovery, the purposes</w:t>
      </w:r>
      <w:r w:rsidR="00461738" w:rsidRPr="00D91ABA">
        <w:rPr>
          <w:lang w:val="en-GB"/>
        </w:rPr>
        <w:t xml:space="preserve"> of this work</w:t>
      </w:r>
      <w:r w:rsidRPr="00D91ABA">
        <w:rPr>
          <w:lang w:val="en-GB"/>
        </w:rPr>
        <w:t xml:space="preserve"> are to</w:t>
      </w:r>
      <w:r w:rsidR="00BE13B8" w:rsidRPr="00D91ABA">
        <w:rPr>
          <w:lang w:val="en-GB"/>
        </w:rPr>
        <w:t xml:space="preserve"> study the different parameters affecting skin-PAMPA permeability, such as incubation time and stirring, </w:t>
      </w:r>
      <w:r w:rsidRPr="00D91ABA">
        <w:rPr>
          <w:lang w:val="en-GB"/>
        </w:rPr>
        <w:t xml:space="preserve">and also to check the </w:t>
      </w:r>
      <w:r w:rsidR="004A4F6C" w:rsidRPr="00D91ABA">
        <w:rPr>
          <w:lang w:val="en-GB"/>
        </w:rPr>
        <w:t xml:space="preserve">stability </w:t>
      </w:r>
      <w:r w:rsidRPr="00D91ABA">
        <w:rPr>
          <w:lang w:val="en-GB"/>
        </w:rPr>
        <w:t xml:space="preserve">of the membrane with </w:t>
      </w:r>
      <w:proofErr w:type="spellStart"/>
      <w:r w:rsidRPr="00D91ABA">
        <w:rPr>
          <w:lang w:val="en-GB"/>
        </w:rPr>
        <w:t>pH.</w:t>
      </w:r>
      <w:proofErr w:type="spellEnd"/>
    </w:p>
    <w:p w14:paraId="2FAAEE9C" w14:textId="2F40ABBF" w:rsidR="007F5FFD" w:rsidRPr="00D91ABA" w:rsidRDefault="00C938A9" w:rsidP="00D91ABA">
      <w:pPr>
        <w:pStyle w:val="ADMETheading"/>
        <w:rPr>
          <w:lang w:val="en-GB"/>
        </w:rPr>
      </w:pPr>
      <w:r w:rsidRPr="00D91ABA">
        <w:rPr>
          <w:lang w:val="en-GB"/>
        </w:rPr>
        <w:t xml:space="preserve">Materials and methods </w:t>
      </w:r>
    </w:p>
    <w:p w14:paraId="4B909C34" w14:textId="671546BF" w:rsidR="00C938A9" w:rsidRPr="00D91ABA" w:rsidRDefault="00C61785" w:rsidP="00D91ABA">
      <w:pPr>
        <w:pStyle w:val="ADMETsubheading"/>
      </w:pPr>
      <w:r w:rsidRPr="00D91ABA">
        <w:t>Reagents</w:t>
      </w:r>
    </w:p>
    <w:p w14:paraId="05C56650" w14:textId="27EFB0F7" w:rsidR="0044305B" w:rsidRPr="00D91ABA" w:rsidRDefault="00C61785" w:rsidP="00D91ABA">
      <w:pPr>
        <w:pStyle w:val="ADMETtext"/>
      </w:pPr>
      <w:r w:rsidRPr="00D91ABA">
        <w:t xml:space="preserve">Acetonitrile </w:t>
      </w:r>
      <w:proofErr w:type="spellStart"/>
      <w:r w:rsidRPr="00D91ABA">
        <w:t>LiChrosolv</w:t>
      </w:r>
      <w:proofErr w:type="spellEnd"/>
      <w:r w:rsidRPr="00D91ABA">
        <w:t xml:space="preserve"> </w:t>
      </w:r>
      <w:r w:rsidR="00D637CC" w:rsidRPr="00D91ABA">
        <w:t xml:space="preserve">grade </w:t>
      </w:r>
      <w:r w:rsidR="00D32F2D" w:rsidRPr="00D91ABA">
        <w:t>was</w:t>
      </w:r>
      <w:r w:rsidRPr="00D91ABA">
        <w:t xml:space="preserve"> purchased from Merck </w:t>
      </w:r>
      <w:r w:rsidR="0035269D" w:rsidRPr="00D91ABA">
        <w:t>(Darmstadt, Germany)</w:t>
      </w:r>
      <w:r w:rsidR="000C63C0" w:rsidRPr="00D91ABA">
        <w:t xml:space="preserve">. Formic acid was obtained from </w:t>
      </w:r>
      <w:proofErr w:type="spellStart"/>
      <w:r w:rsidR="000C63C0" w:rsidRPr="00D91ABA">
        <w:t>Scharla</w:t>
      </w:r>
      <w:r w:rsidR="0035269D" w:rsidRPr="00D91ABA">
        <w:t>u</w:t>
      </w:r>
      <w:proofErr w:type="spellEnd"/>
      <w:r w:rsidR="000C63C0" w:rsidRPr="00D91ABA">
        <w:t xml:space="preserve"> (</w:t>
      </w:r>
      <w:proofErr w:type="spellStart"/>
      <w:r w:rsidR="000C63C0" w:rsidRPr="00D91ABA">
        <w:t>Sentmenat</w:t>
      </w:r>
      <w:proofErr w:type="spellEnd"/>
      <w:r w:rsidR="000C63C0" w:rsidRPr="00D91ABA">
        <w:t xml:space="preserve">, Spain). </w:t>
      </w:r>
      <w:proofErr w:type="spellStart"/>
      <w:r w:rsidR="0035269D" w:rsidRPr="00D91ABA">
        <w:t>Dimethylsulphoxide</w:t>
      </w:r>
      <w:proofErr w:type="spellEnd"/>
      <w:r w:rsidR="0035269D" w:rsidRPr="00D91ABA">
        <w:t xml:space="preserve"> was from Carlo </w:t>
      </w:r>
      <w:proofErr w:type="spellStart"/>
      <w:r w:rsidR="0035269D" w:rsidRPr="00D91ABA">
        <w:t>Erba</w:t>
      </w:r>
      <w:proofErr w:type="spellEnd"/>
      <w:r w:rsidR="0035269D" w:rsidRPr="00D91ABA">
        <w:t xml:space="preserve"> (Milano, Italy). Water was purified by a </w:t>
      </w:r>
      <w:proofErr w:type="spellStart"/>
      <w:r w:rsidR="0035269D" w:rsidRPr="00D91ABA">
        <w:t>Milli</w:t>
      </w:r>
      <w:proofErr w:type="spellEnd"/>
      <w:r w:rsidR="0035269D" w:rsidRPr="00D91ABA">
        <w:t>-Q deionizing system from Millipore (Billerica, MA, USA) with a resistivity of 18.2 MΩ. Most solutes employed were purchased from Sigma-Aldrich (</w:t>
      </w:r>
      <w:proofErr w:type="spellStart"/>
      <w:r w:rsidR="0035269D" w:rsidRPr="00D91ABA">
        <w:t>Steinheim</w:t>
      </w:r>
      <w:proofErr w:type="spellEnd"/>
      <w:r w:rsidR="0035269D" w:rsidRPr="00D91ABA">
        <w:t xml:space="preserve">, Germany), </w:t>
      </w:r>
      <w:proofErr w:type="spellStart"/>
      <w:r w:rsidR="0035269D" w:rsidRPr="00D91ABA">
        <w:t>Fluka</w:t>
      </w:r>
      <w:proofErr w:type="spellEnd"/>
      <w:r w:rsidR="0035269D" w:rsidRPr="00D91ABA">
        <w:t xml:space="preserve"> Analytical VWR (West Chester, PA, USA), Riedel-de </w:t>
      </w:r>
      <w:proofErr w:type="spellStart"/>
      <w:r w:rsidR="0035269D" w:rsidRPr="00D91ABA">
        <w:t>Haën</w:t>
      </w:r>
      <w:proofErr w:type="spellEnd"/>
      <w:r w:rsidR="0035269D" w:rsidRPr="00D91ABA">
        <w:t xml:space="preserve"> (</w:t>
      </w:r>
      <w:proofErr w:type="spellStart"/>
      <w:r w:rsidR="0035269D" w:rsidRPr="00D91ABA">
        <w:t>Seelze</w:t>
      </w:r>
      <w:proofErr w:type="spellEnd"/>
      <w:r w:rsidR="0035269D" w:rsidRPr="00D91ABA">
        <w:t xml:space="preserve">, Germany), Merck (Darmstadt, Germany), Carlo </w:t>
      </w:r>
      <w:proofErr w:type="spellStart"/>
      <w:r w:rsidR="0035269D" w:rsidRPr="00D91ABA">
        <w:t>Erba</w:t>
      </w:r>
      <w:proofErr w:type="spellEnd"/>
      <w:r w:rsidR="0035269D" w:rsidRPr="00D91ABA">
        <w:t xml:space="preserve"> (Milano, Italy) and Baker (Center Valley, PA, USA). </w:t>
      </w:r>
      <w:r w:rsidR="00FB1EA8" w:rsidRPr="00D91ABA">
        <w:t>S</w:t>
      </w:r>
      <w:r w:rsidR="0035269D" w:rsidRPr="00D91ABA">
        <w:t>ome drugs were synthesized in ESTEVE (Barcelona, Spain).</w:t>
      </w:r>
    </w:p>
    <w:p w14:paraId="00F2C25D" w14:textId="631AF046" w:rsidR="00C938A9" w:rsidRPr="00D91ABA" w:rsidRDefault="00E37819" w:rsidP="00D91ABA">
      <w:pPr>
        <w:pStyle w:val="ADMETtext"/>
      </w:pPr>
      <w:r w:rsidRPr="00D91ABA">
        <w:t>T</w:t>
      </w:r>
      <w:r w:rsidR="00C61785" w:rsidRPr="00D91ABA">
        <w:t xml:space="preserve">he </w:t>
      </w:r>
      <w:r w:rsidR="00023714" w:rsidRPr="00D91ABA">
        <w:t xml:space="preserve">concentrated </w:t>
      </w:r>
      <w:r w:rsidR="00C61785" w:rsidRPr="00D91ABA">
        <w:t>PRISMA HT</w:t>
      </w:r>
      <w:r w:rsidR="00C61785" w:rsidRPr="00D91ABA">
        <w:rPr>
          <w:vertAlign w:val="superscript"/>
        </w:rPr>
        <w:t>TM</w:t>
      </w:r>
      <w:r w:rsidR="00C61785" w:rsidRPr="00D91ABA">
        <w:t xml:space="preserve"> solution</w:t>
      </w:r>
      <w:r w:rsidR="00D32F2D" w:rsidRPr="00D91ABA">
        <w:t xml:space="preserve"> was used</w:t>
      </w:r>
      <w:r w:rsidRPr="00D91ABA">
        <w:t xml:space="preserve"> to prepare the buffer solutions</w:t>
      </w:r>
      <w:r w:rsidR="00D32F2D" w:rsidRPr="00D91ABA">
        <w:t>. This solution</w:t>
      </w:r>
      <w:r w:rsidRPr="00D91ABA">
        <w:t xml:space="preserve"> is a universal buffer </w:t>
      </w:r>
      <w:r w:rsidR="00305804" w:rsidRPr="00D91ABA">
        <w:t>designed by Pion Inc (Billerica, MA, USA)</w:t>
      </w:r>
      <w:r w:rsidR="00AF3CC7" w:rsidRPr="00D91ABA">
        <w:t xml:space="preserve"> and is formed by several compounds with </w:t>
      </w:r>
      <w:proofErr w:type="spellStart"/>
      <w:r w:rsidR="00AF3CC7" w:rsidRPr="00D91ABA">
        <w:t>p</w:t>
      </w:r>
      <w:r w:rsidR="00AF3CC7" w:rsidRPr="00D91ABA">
        <w:rPr>
          <w:i/>
        </w:rPr>
        <w:t>K</w:t>
      </w:r>
      <w:r w:rsidR="00AF3CC7" w:rsidRPr="00D91ABA">
        <w:rPr>
          <w:vertAlign w:val="subscript"/>
        </w:rPr>
        <w:t>a</w:t>
      </w:r>
      <w:proofErr w:type="spellEnd"/>
      <w:r w:rsidR="00AF3CC7" w:rsidRPr="00D91ABA">
        <w:t xml:space="preserve"> values evenly spaced to produce a constant buffer capacity in the </w:t>
      </w:r>
      <w:r w:rsidR="00D32F2D" w:rsidRPr="00D91ABA">
        <w:t>range</w:t>
      </w:r>
      <w:r w:rsidR="00AF3CC7" w:rsidRPr="00D91ABA">
        <w:t xml:space="preserve"> pH 3-10. The ionic strength of the PRISMA HT</w:t>
      </w:r>
      <w:r w:rsidR="00AF3CC7" w:rsidRPr="00D91ABA">
        <w:rPr>
          <w:vertAlign w:val="superscript"/>
        </w:rPr>
        <w:t>TM</w:t>
      </w:r>
      <w:r w:rsidR="00AF3CC7" w:rsidRPr="00D91ABA">
        <w:t xml:space="preserve"> is about 10 </w:t>
      </w:r>
      <w:proofErr w:type="spellStart"/>
      <w:r w:rsidR="00AF3CC7" w:rsidRPr="00D91ABA">
        <w:t>mM.</w:t>
      </w:r>
      <w:proofErr w:type="spellEnd"/>
      <w:r w:rsidRPr="00D91ABA">
        <w:t xml:space="preserve"> </w:t>
      </w:r>
      <w:r w:rsidR="00A7516F" w:rsidRPr="00D91ABA">
        <w:t>A h</w:t>
      </w:r>
      <w:r w:rsidR="00C61785" w:rsidRPr="00D91ABA">
        <w:t xml:space="preserve">ydration solution from Pion Inc. (Billerica, MA, USA) </w:t>
      </w:r>
      <w:r w:rsidR="00396845" w:rsidRPr="00D91ABA">
        <w:t>was used</w:t>
      </w:r>
      <w:r w:rsidR="00C61785" w:rsidRPr="00D91ABA">
        <w:t xml:space="preserve"> to rehydrate the artificial skin membrane.</w:t>
      </w:r>
    </w:p>
    <w:p w14:paraId="1B809DE6" w14:textId="66045CFB" w:rsidR="00935B35" w:rsidRPr="00D91ABA" w:rsidRDefault="00935B35" w:rsidP="0035269D">
      <w:pPr>
        <w:pStyle w:val="ADMETtext"/>
        <w:rPr>
          <w:iCs/>
          <w:color w:val="auto"/>
        </w:rPr>
      </w:pPr>
      <w:r w:rsidRPr="00D91ABA">
        <w:rPr>
          <w:color w:val="auto"/>
        </w:rPr>
        <w:t xml:space="preserve">The skin-PAMPA plates, with a membrane composed by </w:t>
      </w:r>
      <w:proofErr w:type="spellStart"/>
      <w:r w:rsidRPr="00D91ABA">
        <w:rPr>
          <w:color w:val="auto"/>
        </w:rPr>
        <w:t>certramides</w:t>
      </w:r>
      <w:proofErr w:type="spellEnd"/>
      <w:r w:rsidRPr="00D91ABA">
        <w:rPr>
          <w:color w:val="auto"/>
        </w:rPr>
        <w:t xml:space="preserve">, </w:t>
      </w:r>
      <w:r w:rsidRPr="00D91ABA">
        <w:rPr>
          <w:color w:val="auto"/>
          <w:lang w:val="en-GB"/>
        </w:rPr>
        <w:t>cholesterol, stearic acid, and silicone oil</w:t>
      </w:r>
      <w:r w:rsidRPr="00D91ABA">
        <w:rPr>
          <w:iCs/>
          <w:color w:val="auto"/>
        </w:rPr>
        <w:t>, were also obtained from Pion Inc.</w:t>
      </w:r>
      <w:r w:rsidR="00ED1302" w:rsidRPr="00D91ABA">
        <w:rPr>
          <w:iCs/>
          <w:color w:val="auto"/>
        </w:rPr>
        <w:t xml:space="preserve"> (Billerica, MA, USA).</w:t>
      </w:r>
    </w:p>
    <w:p w14:paraId="1E1521A7" w14:textId="675BF6EC" w:rsidR="00C938A9" w:rsidRPr="00D91ABA" w:rsidRDefault="00C61785" w:rsidP="00D91ABA">
      <w:pPr>
        <w:pStyle w:val="ADMETsubheading"/>
      </w:pPr>
      <w:r w:rsidRPr="00D91ABA">
        <w:t>Instruments</w:t>
      </w:r>
    </w:p>
    <w:p w14:paraId="2BB8CA2D" w14:textId="77777777" w:rsidR="00524E26" w:rsidRPr="00D91ABA" w:rsidRDefault="00524E26" w:rsidP="00D91ABA">
      <w:pPr>
        <w:pStyle w:val="ADMETtext"/>
      </w:pPr>
      <w:proofErr w:type="gramStart"/>
      <w:r w:rsidRPr="00D91ABA">
        <w:t>pH</w:t>
      </w:r>
      <w:proofErr w:type="gramEnd"/>
      <w:r w:rsidRPr="00D91ABA">
        <w:t xml:space="preserve"> measurements were done with a combined </w:t>
      </w:r>
      <w:proofErr w:type="spellStart"/>
      <w:r w:rsidRPr="00D91ABA">
        <w:t>Crison</w:t>
      </w:r>
      <w:proofErr w:type="spellEnd"/>
      <w:r w:rsidRPr="00D91ABA">
        <w:t xml:space="preserve"> 5202 electrode in a </w:t>
      </w:r>
      <w:proofErr w:type="spellStart"/>
      <w:r w:rsidRPr="00D91ABA">
        <w:t>Crison</w:t>
      </w:r>
      <w:proofErr w:type="spellEnd"/>
      <w:r w:rsidRPr="00D91ABA">
        <w:t xml:space="preserve"> 2001 pH meter (</w:t>
      </w:r>
      <w:proofErr w:type="spellStart"/>
      <w:r w:rsidRPr="00D91ABA">
        <w:t>Hach</w:t>
      </w:r>
      <w:proofErr w:type="spellEnd"/>
      <w:r w:rsidRPr="00D91ABA">
        <w:t xml:space="preserve"> Lange Spain, </w:t>
      </w:r>
      <w:proofErr w:type="spellStart"/>
      <w:r w:rsidRPr="00D91ABA">
        <w:t>L’Hospitalet</w:t>
      </w:r>
      <w:proofErr w:type="spellEnd"/>
      <w:r w:rsidRPr="00D91ABA">
        <w:t xml:space="preserve"> de </w:t>
      </w:r>
      <w:proofErr w:type="spellStart"/>
      <w:r w:rsidRPr="00D91ABA">
        <w:t>Llobregat</w:t>
      </w:r>
      <w:proofErr w:type="spellEnd"/>
      <w:r w:rsidRPr="00D91ABA">
        <w:t xml:space="preserve">, Spain). The electrode system was calibrated with </w:t>
      </w:r>
      <w:r w:rsidR="005959A6" w:rsidRPr="00D91ABA">
        <w:t xml:space="preserve">the </w:t>
      </w:r>
      <w:r w:rsidRPr="00D91ABA">
        <w:t>ordinary aqueous buffers of pH 4.01</w:t>
      </w:r>
      <w:r w:rsidR="009B60A4" w:rsidRPr="00D91ABA">
        <w:t xml:space="preserve"> and </w:t>
      </w:r>
      <w:r w:rsidRPr="00D91ABA">
        <w:t xml:space="preserve">7.00 (25 </w:t>
      </w:r>
      <w:r w:rsidR="008317EB" w:rsidRPr="00D91ABA">
        <w:rPr>
          <w:rFonts w:ascii="Cambria Math" w:hAnsi="Cambria Math"/>
        </w:rPr>
        <w:t>°</w:t>
      </w:r>
      <w:r w:rsidRPr="00D91ABA">
        <w:t>C).</w:t>
      </w:r>
    </w:p>
    <w:p w14:paraId="6B30F743" w14:textId="304421F5" w:rsidR="00524E26" w:rsidRPr="00D91ABA" w:rsidRDefault="00524E26" w:rsidP="00D91ABA">
      <w:pPr>
        <w:pStyle w:val="ADMETtext"/>
      </w:pPr>
      <w:r w:rsidRPr="00D91ABA">
        <w:t>Permeability measurements were made with the PAMPA Explorer Permeability Assay instrument from Pion Inc (Billerica, MA, USA). This instrument is composed of the Gut-</w:t>
      </w:r>
      <w:proofErr w:type="spellStart"/>
      <w:r w:rsidRPr="00D91ABA">
        <w:t>Box</w:t>
      </w:r>
      <w:r w:rsidRPr="00D91ABA">
        <w:rPr>
          <w:vertAlign w:val="superscript"/>
        </w:rPr>
        <w:t>TM</w:t>
      </w:r>
      <w:proofErr w:type="spellEnd"/>
      <w:r w:rsidRPr="00D91ABA">
        <w:t xml:space="preserve"> and the </w:t>
      </w:r>
      <w:proofErr w:type="spellStart"/>
      <w:r w:rsidRPr="00D91ABA">
        <w:t>TempPlate</w:t>
      </w:r>
      <w:proofErr w:type="spellEnd"/>
      <w:r w:rsidRPr="00D91ABA">
        <w:t>. The Gut-</w:t>
      </w:r>
      <w:proofErr w:type="spellStart"/>
      <w:r w:rsidRPr="00D91ABA">
        <w:t>Box</w:t>
      </w:r>
      <w:r w:rsidRPr="00D91ABA">
        <w:rPr>
          <w:vertAlign w:val="superscript"/>
        </w:rPr>
        <w:t>TM</w:t>
      </w:r>
      <w:proofErr w:type="spellEnd"/>
      <w:r w:rsidRPr="00D91ABA">
        <w:t xml:space="preserve"> is a mechanical device used for the PAMPA assay to decrease the permeation time and reduce the unstirred water layer (UWL) thickness that is always present. The </w:t>
      </w:r>
      <w:proofErr w:type="spellStart"/>
      <w:r w:rsidRPr="00D91ABA">
        <w:t>TempPlate</w:t>
      </w:r>
      <w:proofErr w:type="spellEnd"/>
      <w:r w:rsidRPr="00D91ABA">
        <w:t xml:space="preserve"> is used for the temperature control during plate incubation.</w:t>
      </w:r>
    </w:p>
    <w:p w14:paraId="508ABA27" w14:textId="77777777" w:rsidR="00524E26" w:rsidRPr="00D91ABA" w:rsidRDefault="00524E26" w:rsidP="00D91ABA">
      <w:pPr>
        <w:pStyle w:val="ADMETtext"/>
      </w:pPr>
      <w:r w:rsidRPr="00D91ABA">
        <w:t>Chromatographic measurements were performed with a Waters (Milford, MA, USA) I-Class UPLC with diode array detector</w:t>
      </w:r>
      <w:r w:rsidR="009B60A4" w:rsidRPr="00D91ABA">
        <w:t xml:space="preserve">. </w:t>
      </w:r>
      <w:r w:rsidRPr="00D91ABA">
        <w:t xml:space="preserve">Instrument control and processing </w:t>
      </w:r>
      <w:r w:rsidR="009B60A4" w:rsidRPr="00D91ABA">
        <w:t>was</w:t>
      </w:r>
      <w:r w:rsidRPr="00D91ABA">
        <w:t xml:space="preserve"> performed by Empower. The column used for the determinations w</w:t>
      </w:r>
      <w:r w:rsidR="009B60A4" w:rsidRPr="00D91ABA">
        <w:t>as</w:t>
      </w:r>
      <w:r w:rsidR="005959A6" w:rsidRPr="00D91ABA">
        <w:t xml:space="preserve"> an </w:t>
      </w:r>
      <w:proofErr w:type="spellStart"/>
      <w:r w:rsidR="005959A6" w:rsidRPr="00D91ABA">
        <w:t>A</w:t>
      </w:r>
      <w:r w:rsidRPr="00D91ABA">
        <w:t>cquity</w:t>
      </w:r>
      <w:proofErr w:type="spellEnd"/>
      <w:r w:rsidRPr="00D91ABA">
        <w:t xml:space="preserve"> UPLC BEH C18 (50 x 2.1 mm, 1.7 </w:t>
      </w:r>
      <w:proofErr w:type="spellStart"/>
      <w:r w:rsidRPr="00D91ABA">
        <w:t>μm</w:t>
      </w:r>
      <w:proofErr w:type="spellEnd"/>
      <w:r w:rsidRPr="00D91ABA">
        <w:t>)</w:t>
      </w:r>
      <w:r w:rsidR="009B60A4" w:rsidRPr="00D91ABA">
        <w:t xml:space="preserve">. </w:t>
      </w:r>
    </w:p>
    <w:p w14:paraId="268A4681" w14:textId="6875B2D7" w:rsidR="00023714" w:rsidRPr="00D91ABA" w:rsidRDefault="000F4754" w:rsidP="00D91ABA">
      <w:pPr>
        <w:pStyle w:val="ADMETsubheading"/>
      </w:pPr>
      <w:r w:rsidRPr="00D91ABA">
        <w:t>Skin-PAMPA</w:t>
      </w:r>
      <w:r w:rsidR="00524E26" w:rsidRPr="00D91ABA">
        <w:t xml:space="preserve"> method</w:t>
      </w:r>
    </w:p>
    <w:p w14:paraId="21BF7A8A" w14:textId="369800D9" w:rsidR="009150C0" w:rsidRPr="00D91ABA" w:rsidRDefault="00023714" w:rsidP="00D91ABA">
      <w:pPr>
        <w:pStyle w:val="ADMETtext"/>
        <w:rPr>
          <w:b/>
          <w:bCs/>
          <w:iCs/>
        </w:rPr>
      </w:pPr>
      <w:r w:rsidRPr="00D91ABA">
        <w:t xml:space="preserve">Before permeation assays, the top part of the </w:t>
      </w:r>
      <w:r w:rsidR="000F4754" w:rsidRPr="00D91ABA">
        <w:t>skin-PAMPA</w:t>
      </w:r>
      <w:r w:rsidRPr="00D91ABA">
        <w:t xml:space="preserve"> sandwich, which contains the membrane, was hydrated overnight with the hydration solution</w:t>
      </w:r>
      <w:r w:rsidR="00935B35" w:rsidRPr="00D91ABA">
        <w:t xml:space="preserve">. </w:t>
      </w:r>
      <w:r w:rsidRPr="00D91ABA">
        <w:t>The samples were dissolved in diluted PRISMA HT</w:t>
      </w:r>
      <w:r w:rsidRPr="00D91ABA">
        <w:rPr>
          <w:vertAlign w:val="superscript"/>
        </w:rPr>
        <w:t>TM</w:t>
      </w:r>
      <w:r w:rsidRPr="00D91ABA">
        <w:t xml:space="preserve"> buffer solution at several pH values: 25 mL of concentrated PRISMA HT</w:t>
      </w:r>
      <w:r w:rsidRPr="00D91ABA">
        <w:rPr>
          <w:vertAlign w:val="superscript"/>
        </w:rPr>
        <w:t>TM</w:t>
      </w:r>
      <w:r w:rsidRPr="00D91ABA">
        <w:t xml:space="preserve"> was diluted with water to a final </w:t>
      </w:r>
      <w:r w:rsidR="003A5976" w:rsidRPr="00D91ABA">
        <w:t>volume</w:t>
      </w:r>
      <w:r w:rsidRPr="00D91ABA">
        <w:t xml:space="preserve"> of 1 L and then, different solutions were prepared by pH adjustment between 3 and 10 with 0.5 M </w:t>
      </w:r>
      <w:proofErr w:type="spellStart"/>
      <w:r w:rsidRPr="00D91ABA">
        <w:t>NaOH</w:t>
      </w:r>
      <w:proofErr w:type="spellEnd"/>
      <w:r w:rsidRPr="00D91ABA">
        <w:t xml:space="preserve"> (Merck). The concentration of the sample solutions was 50 µM (containing 0.5</w:t>
      </w:r>
      <w:r w:rsidR="00EE4E77">
        <w:t xml:space="preserve"> </w:t>
      </w:r>
      <w:r w:rsidRPr="00D91ABA">
        <w:t xml:space="preserve">% v/v DMSO). </w:t>
      </w:r>
      <w:r w:rsidR="000F4754" w:rsidRPr="00D91ABA">
        <w:t>Skin-PAMPA</w:t>
      </w:r>
      <w:r w:rsidR="0072182F" w:rsidRPr="00D91ABA">
        <w:t xml:space="preserve"> assays </w:t>
      </w:r>
      <w:r w:rsidR="009150C0" w:rsidRPr="00D91ABA">
        <w:t>were</w:t>
      </w:r>
      <w:r w:rsidR="0072182F" w:rsidRPr="00D91ABA">
        <w:t xml:space="preserve"> carried out under gradient-pH conditions to mimic the pH change between</w:t>
      </w:r>
      <w:r w:rsidR="00CA0159" w:rsidRPr="00D91ABA">
        <w:t xml:space="preserve"> the</w:t>
      </w:r>
      <w:r w:rsidR="0072182F" w:rsidRPr="00D91ABA">
        <w:t xml:space="preserve"> stratum </w:t>
      </w:r>
      <w:proofErr w:type="spellStart"/>
      <w:r w:rsidR="0072182F" w:rsidRPr="00D91ABA">
        <w:t>corneum</w:t>
      </w:r>
      <w:proofErr w:type="spellEnd"/>
      <w:r w:rsidR="0072182F" w:rsidRPr="00D91ABA">
        <w:t xml:space="preserve"> and </w:t>
      </w:r>
      <w:r w:rsidR="00CA0159" w:rsidRPr="00D91ABA">
        <w:t xml:space="preserve">the </w:t>
      </w:r>
      <w:r w:rsidR="0072182F" w:rsidRPr="00D91ABA">
        <w:t xml:space="preserve">underlying epidermis and dermis. For this reason, the donor compartment pH </w:t>
      </w:r>
      <w:r w:rsidR="009150C0" w:rsidRPr="00D91ABA">
        <w:t>was</w:t>
      </w:r>
      <w:r w:rsidR="0072182F" w:rsidRPr="00D91ABA">
        <w:t xml:space="preserve"> varied </w:t>
      </w:r>
      <w:r w:rsidR="007D68B3" w:rsidRPr="00D91ABA">
        <w:lastRenderedPageBreak/>
        <w:t xml:space="preserve">from </w:t>
      </w:r>
      <w:r w:rsidR="0072182F" w:rsidRPr="00D91ABA">
        <w:t xml:space="preserve">3 to 10 and the acceptor compartment pH </w:t>
      </w:r>
      <w:r w:rsidR="009150C0" w:rsidRPr="00D91ABA">
        <w:t>was</w:t>
      </w:r>
      <w:r w:rsidR="0072182F" w:rsidRPr="00D91ABA">
        <w:t xml:space="preserve"> maintained at pH 7.4.</w:t>
      </w:r>
      <w:r w:rsidR="00B876F0" w:rsidRPr="00D91ABA">
        <w:t xml:space="preserve"> This gradient-pH state is the first sink condition in </w:t>
      </w:r>
      <w:r w:rsidR="000F4754" w:rsidRPr="00D91ABA">
        <w:t>skin-PAMPA</w:t>
      </w:r>
      <w:r w:rsidR="00B876F0" w:rsidRPr="00D91ABA">
        <w:t xml:space="preserve">. The </w:t>
      </w:r>
      <w:r w:rsidR="00EE4E77">
        <w:t>d</w:t>
      </w:r>
      <w:r w:rsidR="00B876F0" w:rsidRPr="00D91ABA">
        <w:t>ouble-</w:t>
      </w:r>
      <w:r w:rsidR="00EE4E77">
        <w:t>s</w:t>
      </w:r>
      <w:r w:rsidR="00B876F0" w:rsidRPr="00D91ABA">
        <w:t xml:space="preserve">ink condition </w:t>
      </w:r>
      <w:r w:rsidR="007D68B3" w:rsidRPr="00D91ABA">
        <w:t xml:space="preserve">that </w:t>
      </w:r>
      <w:r w:rsidR="00B876F0" w:rsidRPr="00D91ABA">
        <w:t xml:space="preserve">is usually used in GIT-PAMPA consists in taking advantage of chemical scavengers in the receiver compartment to make permeation of lipophilic compounds across the membrane unidirectional. This procedure simulates the situation present in the body where blood flow and serum proteins constantly shift the concentration gradient to </w:t>
      </w:r>
      <w:r w:rsidR="003A5976" w:rsidRPr="00D91ABA">
        <w:t>favor</w:t>
      </w:r>
      <w:r w:rsidR="00B876F0" w:rsidRPr="00D91ABA">
        <w:t xml:space="preserve"> absorption. </w:t>
      </w:r>
      <w:r w:rsidR="003B01F4" w:rsidRPr="00D91ABA">
        <w:t>However,</w:t>
      </w:r>
      <w:r w:rsidR="00AD49E1" w:rsidRPr="00D91ABA">
        <w:t xml:space="preserve"> t</w:t>
      </w:r>
      <w:r w:rsidR="00B876F0" w:rsidRPr="00D91ABA">
        <w:t xml:space="preserve">his double-sink condition is not used in </w:t>
      </w:r>
      <w:r w:rsidR="000F4754" w:rsidRPr="00D91ABA">
        <w:t>skin-</w:t>
      </w:r>
      <w:r w:rsidR="00B876F0" w:rsidRPr="00D91ABA">
        <w:t>P</w:t>
      </w:r>
      <w:r w:rsidR="00FC07EE" w:rsidRPr="00D91ABA">
        <w:t>AMPA</w:t>
      </w:r>
      <w:r w:rsidR="00B876F0" w:rsidRPr="00D91ABA">
        <w:t xml:space="preserve"> since this additional shift is not observed through the skin.</w:t>
      </w:r>
      <w:r w:rsidR="009150C0" w:rsidRPr="00D91ABA">
        <w:t xml:space="preserve"> Before performing the </w:t>
      </w:r>
      <w:r w:rsidR="000F4754" w:rsidRPr="00D91ABA">
        <w:t>skin-PAMPA</w:t>
      </w:r>
      <w:r w:rsidR="009150C0" w:rsidRPr="00D91ABA">
        <w:t xml:space="preserve"> sandwich, the donor compartment (or bottom plate) was prefilled with 180 µL (stirred assay) or 200 µL (unstirred assay) of sample solutions and the acceptor compartment (or top plate) was filled with 200 µL of PRISMA HT</w:t>
      </w:r>
      <w:r w:rsidR="009150C0" w:rsidRPr="00D91ABA">
        <w:rPr>
          <w:vertAlign w:val="superscript"/>
        </w:rPr>
        <w:t>TM</w:t>
      </w:r>
      <w:r w:rsidR="009150C0" w:rsidRPr="00D91ABA">
        <w:t xml:space="preserve"> buffer solution at pH 7.4. The donor volume is decreased in stirred assay since the stirring bars have a volume of 20 µL that can cause overflow. As it is mentioned before, the Gut-</w:t>
      </w:r>
      <w:proofErr w:type="spellStart"/>
      <w:r w:rsidR="009150C0" w:rsidRPr="00D91ABA">
        <w:t>Box</w:t>
      </w:r>
      <w:r w:rsidR="009150C0" w:rsidRPr="00D91ABA">
        <w:rPr>
          <w:vertAlign w:val="superscript"/>
        </w:rPr>
        <w:t>TM</w:t>
      </w:r>
      <w:proofErr w:type="spellEnd"/>
      <w:r w:rsidR="009150C0" w:rsidRPr="00D91ABA">
        <w:t xml:space="preserve"> was used to </w:t>
      </w:r>
      <w:r w:rsidR="00CA0159" w:rsidRPr="00D91ABA">
        <w:t>stir effectively</w:t>
      </w:r>
      <w:r w:rsidR="009150C0" w:rsidRPr="00D91ABA">
        <w:t>.</w:t>
      </w:r>
    </w:p>
    <w:p w14:paraId="49CCB209" w14:textId="5E92E989" w:rsidR="00C938A9" w:rsidRPr="00D91ABA" w:rsidRDefault="00524E26" w:rsidP="00D91ABA">
      <w:pPr>
        <w:pStyle w:val="ADMETtext"/>
      </w:pPr>
      <w:r w:rsidRPr="00D91ABA">
        <w:t xml:space="preserve">The </w:t>
      </w:r>
      <w:r w:rsidR="000F4754" w:rsidRPr="00D91ABA">
        <w:t>skin-PAMPA</w:t>
      </w:r>
      <w:r w:rsidRPr="00D91ABA">
        <w:t xml:space="preserve"> sandwich was incubated at 32 </w:t>
      </w:r>
      <w:r w:rsidR="00EE4E77">
        <w:t>°</w:t>
      </w:r>
      <w:r w:rsidRPr="00D91ABA">
        <w:t>C. After the permeation time was reached, the plates were separated and the compound concentration in acceptor, donor and reference (init</w:t>
      </w:r>
      <w:r w:rsidR="009560E6" w:rsidRPr="00D91ABA">
        <w:t>ial sample solution) was</w:t>
      </w:r>
      <w:r w:rsidRPr="00D91ABA">
        <w:t xml:space="preserve"> determined using UPLC-DAD. Chromatographic conditions were: formic acid 0.1</w:t>
      </w:r>
      <w:r w:rsidR="00EE4E77">
        <w:t xml:space="preserve"> </w:t>
      </w:r>
      <w:r w:rsidRPr="00D91ABA">
        <w:t>% and acetonitrile as mobile phase, flow rate of 0.8 mL/min,</w:t>
      </w:r>
      <w:r w:rsidR="00FB1EA8" w:rsidRPr="00D91ABA">
        <w:t xml:space="preserve"> linear</w:t>
      </w:r>
      <w:r w:rsidRPr="00D91ABA">
        <w:t xml:space="preserve"> gradient elution</w:t>
      </w:r>
      <w:r w:rsidR="008970CF" w:rsidRPr="00D91ABA">
        <w:t xml:space="preserve"> (</w:t>
      </w:r>
      <w:r w:rsidR="00FB1EA8" w:rsidRPr="00D91ABA">
        <w:t xml:space="preserve">linear gradient from </w:t>
      </w:r>
      <w:r w:rsidR="008970CF" w:rsidRPr="00D91ABA">
        <w:t>2</w:t>
      </w:r>
      <w:r w:rsidR="00EE4E77">
        <w:t xml:space="preserve"> </w:t>
      </w:r>
      <w:r w:rsidR="008970CF" w:rsidRPr="00D91ABA">
        <w:t xml:space="preserve">% </w:t>
      </w:r>
      <w:r w:rsidR="008C6218" w:rsidRPr="00D91ABA">
        <w:t>to</w:t>
      </w:r>
      <w:r w:rsidR="008970CF" w:rsidRPr="00D91ABA">
        <w:t xml:space="preserve"> 98</w:t>
      </w:r>
      <w:r w:rsidR="00EE4E77">
        <w:t xml:space="preserve"> </w:t>
      </w:r>
      <w:r w:rsidR="008970CF" w:rsidRPr="00D91ABA">
        <w:t xml:space="preserve">% </w:t>
      </w:r>
      <w:r w:rsidR="00FB1EA8" w:rsidRPr="00D91ABA">
        <w:t xml:space="preserve">of </w:t>
      </w:r>
      <w:r w:rsidR="008970CF" w:rsidRPr="00D91ABA">
        <w:t>acetonitrile</w:t>
      </w:r>
      <w:r w:rsidR="00FB1EA8" w:rsidRPr="00D91ABA">
        <w:t xml:space="preserve"> in 2.5 minut</w:t>
      </w:r>
      <w:r w:rsidR="004B2111" w:rsidRPr="00D91ABA">
        <w:t>e</w:t>
      </w:r>
      <w:r w:rsidR="00FB1EA8" w:rsidRPr="00D91ABA">
        <w:t>s</w:t>
      </w:r>
      <w:r w:rsidR="008970CF" w:rsidRPr="00D91ABA">
        <w:t>)</w:t>
      </w:r>
      <w:r w:rsidRPr="00D91ABA">
        <w:t xml:space="preserve">, injection volume of 5 </w:t>
      </w:r>
      <w:proofErr w:type="spellStart"/>
      <w:r w:rsidRPr="00D91ABA">
        <w:t>μL</w:t>
      </w:r>
      <w:proofErr w:type="spellEnd"/>
      <w:r w:rsidRPr="00D91ABA">
        <w:t xml:space="preserve"> and the detection by DAD.</w:t>
      </w:r>
      <w:r w:rsidR="00B70C42" w:rsidRPr="00D91ABA">
        <w:t xml:space="preserve"> </w:t>
      </w:r>
      <w:r w:rsidR="009560E6" w:rsidRPr="00D91ABA">
        <w:t xml:space="preserve">3 to 5 replicate measurements were done </w:t>
      </w:r>
      <w:r w:rsidR="008C0B61" w:rsidRPr="00D91ABA">
        <w:t>per compound and pH</w:t>
      </w:r>
      <w:r w:rsidR="00E70BDD" w:rsidRPr="00D91ABA">
        <w:t>, and every well-plate contained only one compound.</w:t>
      </w:r>
    </w:p>
    <w:p w14:paraId="69C50EA7" w14:textId="38E4D648" w:rsidR="001527B3" w:rsidRPr="00D91ABA" w:rsidRDefault="002664EA" w:rsidP="00D91ABA">
      <w:pPr>
        <w:pStyle w:val="ADMETsubheading"/>
        <w:rPr>
          <w:lang w:val="en-GB"/>
        </w:rPr>
      </w:pPr>
      <w:r w:rsidRPr="00D91ABA">
        <w:rPr>
          <w:lang w:val="en-GB"/>
        </w:rPr>
        <w:t>Calculation metho</w:t>
      </w:r>
      <w:r w:rsidR="006B6DC8" w:rsidRPr="00D91ABA">
        <w:rPr>
          <w:lang w:val="en-GB"/>
        </w:rPr>
        <w:t>ds</w:t>
      </w:r>
    </w:p>
    <w:p w14:paraId="47D00964" w14:textId="4B4CC566" w:rsidR="00C07C69" w:rsidRPr="00D91ABA" w:rsidRDefault="004E4355" w:rsidP="00D91ABA">
      <w:pPr>
        <w:pStyle w:val="ADMETtext"/>
        <w:rPr>
          <w:lang w:val="en-GB"/>
        </w:rPr>
      </w:pPr>
      <w:r w:rsidRPr="00D91ABA">
        <w:rPr>
          <w:lang w:val="en-GB"/>
        </w:rPr>
        <w:t xml:space="preserve">The </w:t>
      </w:r>
      <w:r w:rsidR="000F4754" w:rsidRPr="00D91ABA">
        <w:rPr>
          <w:lang w:val="en-GB"/>
        </w:rPr>
        <w:t>skin-PAMPA</w:t>
      </w:r>
      <w:r w:rsidRPr="00D91ABA">
        <w:rPr>
          <w:lang w:val="en-GB"/>
        </w:rPr>
        <w:t xml:space="preserve"> permeability was calculated through </w:t>
      </w:r>
      <w:r w:rsidR="00524E26" w:rsidRPr="00D91ABA">
        <w:rPr>
          <w:lang w:val="en-GB"/>
        </w:rPr>
        <w:t>PAMPA equations</w:t>
      </w:r>
      <w:r w:rsidRPr="00D91ABA">
        <w:rPr>
          <w:lang w:val="en-GB"/>
        </w:rPr>
        <w:t>. T</w:t>
      </w:r>
      <w:r w:rsidR="00140E54" w:rsidRPr="00D91ABA">
        <w:rPr>
          <w:lang w:val="en-GB"/>
        </w:rPr>
        <w:t>aking</w:t>
      </w:r>
      <w:r w:rsidR="009E1512" w:rsidRPr="00D91ABA">
        <w:rPr>
          <w:lang w:val="en-GB"/>
        </w:rPr>
        <w:t xml:space="preserve"> into account </w:t>
      </w:r>
      <w:r w:rsidR="0043786C" w:rsidRPr="00D91ABA">
        <w:rPr>
          <w:lang w:val="en-GB"/>
        </w:rPr>
        <w:t xml:space="preserve">the </w:t>
      </w:r>
      <w:r w:rsidR="009E1512" w:rsidRPr="00D91ABA">
        <w:rPr>
          <w:lang w:val="en-GB"/>
        </w:rPr>
        <w:t xml:space="preserve">membrane retention </w:t>
      </w:r>
      <w:r w:rsidR="007B6D15" w:rsidRPr="00D91ABA">
        <w:rPr>
          <w:lang w:val="en-GB"/>
        </w:rPr>
        <w:t xml:space="preserve">(mole fraction of the sample that can be lost in the membrane) </w:t>
      </w:r>
      <w:r w:rsidR="00524E26" w:rsidRPr="00D91ABA">
        <w:rPr>
          <w:lang w:val="en-GB"/>
        </w:rPr>
        <w:t>under gradient-pH</w:t>
      </w:r>
      <w:r w:rsidR="00140E54" w:rsidRPr="00D91ABA">
        <w:rPr>
          <w:lang w:val="en-GB"/>
        </w:rPr>
        <w:t xml:space="preserve"> </w:t>
      </w:r>
      <w:r w:rsidR="00524E26" w:rsidRPr="00D91ABA">
        <w:rPr>
          <w:lang w:val="en-GB"/>
        </w:rPr>
        <w:t>conditions</w:t>
      </w:r>
      <w:r w:rsidR="00140E54" w:rsidRPr="00D91ABA">
        <w:rPr>
          <w:lang w:val="en-GB"/>
        </w:rPr>
        <w:t>,</w:t>
      </w:r>
      <w:r w:rsidR="00524E26" w:rsidRPr="00D91ABA">
        <w:rPr>
          <w:lang w:val="en-GB"/>
        </w:rPr>
        <w:t xml:space="preserve"> </w:t>
      </w:r>
      <w:r w:rsidRPr="00D91ABA">
        <w:rPr>
          <w:lang w:val="en-GB"/>
        </w:rPr>
        <w:t xml:space="preserve">the equations </w:t>
      </w:r>
      <w:r w:rsidR="00524E26" w:rsidRPr="00D91ABA">
        <w:rPr>
          <w:lang w:val="en-GB"/>
        </w:rPr>
        <w:t>are the following</w:t>
      </w:r>
      <w:r w:rsidR="00950099" w:rsidRPr="00D91ABA">
        <w:rPr>
          <w:lang w:val="en-GB"/>
        </w:rPr>
        <w:t xml:space="preserve"> </w:t>
      </w:r>
      <w:r w:rsidR="00950099" w:rsidRPr="00D91ABA">
        <w:rPr>
          <w:lang w:val="en-GB"/>
        </w:rPr>
        <w:fldChar w:fldCharType="begin" w:fldLock="1"/>
      </w:r>
      <w:r w:rsidR="00913B15" w:rsidRPr="00D91ABA">
        <w:rPr>
          <w:lang w:val="en-GB"/>
        </w:rPr>
        <w:instrText>ADDIN CSL_CITATION {"citationItems":[{"id":"ITEM-1","itemData":{"author":[{"dropping-particle":"","family":"Avdeef","given":"Alex","non-dropping-particle":"","parse-names":false,"suffix":""}],"edition":"2","id":"ITEM-1","issued":{"date-parts":[["2012"]]},"publisher":"John Wiley &amp; Sons, Inc.","title":"Absorption and Drug Development: Solubility, Permeability, and Charge State","type":"book"},"uris":["http://www.mendeley.com/documents/?uuid=60543434-d21f-454a-99d9-b8ce3095b1cf"]}],"mendeley":{"formattedCitation":"[17]","plainTextFormattedCitation":"[17]","previouslyFormattedCitation":"[17]"},"properties":{"noteIndex":0},"schema":"https://github.com/citation-style-language/schema/raw/master/csl-citation.json"}</w:instrText>
      </w:r>
      <w:r w:rsidR="00950099" w:rsidRPr="00D91ABA">
        <w:rPr>
          <w:lang w:val="en-GB"/>
        </w:rPr>
        <w:fldChar w:fldCharType="separate"/>
      </w:r>
      <w:r w:rsidR="00913B15" w:rsidRPr="00D91ABA">
        <w:rPr>
          <w:noProof/>
          <w:lang w:val="en-GB"/>
        </w:rPr>
        <w:t>[17]</w:t>
      </w:r>
      <w:r w:rsidR="00950099" w:rsidRPr="00D91ABA">
        <w:rPr>
          <w:lang w:val="en-GB"/>
        </w:rPr>
        <w:fldChar w:fldCharType="end"/>
      </w:r>
      <w:r w:rsidR="00524E26" w:rsidRPr="00D91ABA">
        <w:rPr>
          <w:lang w:val="en-GB"/>
        </w:rPr>
        <w:t>:</w:t>
      </w:r>
    </w:p>
    <w:bookmarkStart w:id="2" w:name="_Hlk20061164"/>
    <w:p w14:paraId="7FC0EC86" w14:textId="336EF5D7" w:rsidR="00972BEC" w:rsidRPr="00D91ABA" w:rsidRDefault="00363028" w:rsidP="00D91ABA">
      <w:pPr>
        <w:pStyle w:val="ADMETtext"/>
        <w:tabs>
          <w:tab w:val="right" w:pos="9498"/>
        </w:tabs>
      </w:pPr>
      <m:oMath>
        <m:sSub>
          <m:sSubPr>
            <m:ctrlPr>
              <w:rPr>
                <w:rFonts w:ascii="Cambria Math" w:hAnsi="Cambria Math"/>
                <w:i/>
              </w:rPr>
            </m:ctrlPr>
          </m:sSubPr>
          <m:e>
            <m:r>
              <m:rPr>
                <m:nor/>
              </m:rPr>
              <w:rPr>
                <w:i/>
              </w:rPr>
              <m:t>P</m:t>
            </m:r>
          </m:e>
          <m:sub>
            <m:r>
              <m:rPr>
                <m:nor/>
              </m:rPr>
              <m:t>e</m:t>
            </m:r>
          </m:sub>
        </m:sSub>
        <m:r>
          <m:rPr>
            <m:nor/>
          </m:rPr>
          <w:rPr>
            <w:rFonts w:ascii="Cambria Math"/>
          </w:rPr>
          <m:t xml:space="preserve"> </m:t>
        </m:r>
        <m:r>
          <m:rPr>
            <m:nor/>
          </m:rPr>
          <m:t>= -</m:t>
        </m:r>
        <m:f>
          <m:fPr>
            <m:ctrlPr>
              <w:rPr>
                <w:rFonts w:ascii="Cambria Math" w:hAnsi="Cambria Math"/>
                <w:i/>
              </w:rPr>
            </m:ctrlPr>
          </m:fPr>
          <m:num>
            <m:r>
              <m:rPr>
                <m:nor/>
              </m:rPr>
              <m:t>2.303</m:t>
            </m:r>
            <m:sSub>
              <m:sSubPr>
                <m:ctrlPr>
                  <w:rPr>
                    <w:rFonts w:ascii="Cambria Math" w:hAnsi="Cambria Math"/>
                    <w:i/>
                  </w:rPr>
                </m:ctrlPr>
              </m:sSubPr>
              <m:e>
                <m:r>
                  <m:rPr>
                    <m:nor/>
                  </m:rPr>
                  <w:rPr>
                    <w:i/>
                  </w:rPr>
                  <m:t>V</m:t>
                </m:r>
              </m:e>
              <m:sub>
                <m:r>
                  <m:rPr>
                    <m:nor/>
                  </m:rPr>
                  <m:t>D</m:t>
                </m:r>
              </m:sub>
            </m:sSub>
          </m:num>
          <m:den>
            <m:r>
              <m:rPr>
                <m:nor/>
              </m:rPr>
              <m:t>A·</m:t>
            </m:r>
            <m:d>
              <m:dPr>
                <m:ctrlPr>
                  <w:rPr>
                    <w:rFonts w:ascii="Cambria Math" w:hAnsi="Cambria Math"/>
                    <w:i/>
                  </w:rPr>
                </m:ctrlPr>
              </m:dPr>
              <m:e>
                <m:r>
                  <m:rPr>
                    <m:nor/>
                  </m:rPr>
                  <w:rPr>
                    <w:i/>
                  </w:rPr>
                  <m:t>t</m:t>
                </m:r>
                <m:r>
                  <m:rPr>
                    <m:nor/>
                  </m:rPr>
                  <m:t>-</m:t>
                </m:r>
                <m:sSub>
                  <m:sSubPr>
                    <m:ctrlPr>
                      <w:rPr>
                        <w:rFonts w:ascii="Cambria Math" w:hAnsi="Cambria Math"/>
                        <w:i/>
                      </w:rPr>
                    </m:ctrlPr>
                  </m:sSubPr>
                  <m:e>
                    <m:r>
                      <m:rPr>
                        <m:nor/>
                      </m:rPr>
                      <w:rPr>
                        <w:i/>
                      </w:rPr>
                      <m:t>t</m:t>
                    </m:r>
                  </m:e>
                  <m:sub>
                    <m:r>
                      <m:rPr>
                        <m:nor/>
                      </m:rPr>
                      <m:t>ss</m:t>
                    </m:r>
                  </m:sub>
                </m:sSub>
              </m:e>
            </m:d>
            <m:r>
              <m:rPr>
                <m:nor/>
              </m:rPr>
              <m:t>·</m:t>
            </m:r>
            <m:sSub>
              <m:sSubPr>
                <m:ctrlPr>
                  <w:rPr>
                    <w:rFonts w:ascii="Cambria Math" w:hAnsi="Cambria Math"/>
                    <w:i/>
                  </w:rPr>
                </m:ctrlPr>
              </m:sSubPr>
              <m:e>
                <m:r>
                  <m:rPr>
                    <m:nor/>
                  </m:rPr>
                  <w:rPr>
                    <w:i/>
                  </w:rPr>
                  <m:t>ε</m:t>
                </m:r>
              </m:e>
              <m:sub>
                <m:r>
                  <m:rPr>
                    <m:nor/>
                  </m:rPr>
                  <m:t>a</m:t>
                </m:r>
              </m:sub>
            </m:sSub>
          </m:den>
        </m:f>
        <m:r>
          <m:rPr>
            <m:nor/>
          </m:rPr>
          <m:t>·</m:t>
        </m:r>
        <m:d>
          <m:dPr>
            <m:ctrlPr>
              <w:rPr>
                <w:rFonts w:ascii="Cambria Math" w:hAnsi="Cambria Math"/>
                <w:i/>
              </w:rPr>
            </m:ctrlPr>
          </m:dPr>
          <m:e>
            <m:f>
              <m:fPr>
                <m:ctrlPr>
                  <w:rPr>
                    <w:rFonts w:ascii="Cambria Math" w:hAnsi="Cambria Math"/>
                    <w:i/>
                  </w:rPr>
                </m:ctrlPr>
              </m:fPr>
              <m:num>
                <m:r>
                  <m:rPr>
                    <m:nor/>
                  </m:rPr>
                  <m:t>1</m:t>
                </m:r>
              </m:num>
              <m:den>
                <m:r>
                  <m:rPr>
                    <m:nor/>
                  </m:rPr>
                  <m:t>1+</m:t>
                </m:r>
                <m:sSub>
                  <m:sSubPr>
                    <m:ctrlPr>
                      <w:rPr>
                        <w:rFonts w:ascii="Cambria Math" w:hAnsi="Cambria Math"/>
                        <w:i/>
                      </w:rPr>
                    </m:ctrlPr>
                  </m:sSubPr>
                  <m:e>
                    <m:r>
                      <m:rPr>
                        <m:nor/>
                      </m:rPr>
                      <w:rPr>
                        <w:i/>
                      </w:rPr>
                      <m:t>r</m:t>
                    </m:r>
                  </m:e>
                  <m:sub>
                    <m:r>
                      <m:rPr>
                        <m:nor/>
                      </m:rPr>
                      <m:t>a</m:t>
                    </m:r>
                  </m:sub>
                </m:sSub>
              </m:den>
            </m:f>
          </m:e>
        </m:d>
        <m:r>
          <m:rPr>
            <m:nor/>
          </m:rPr>
          <m:t>·</m:t>
        </m:r>
        <m:sSub>
          <m:sSubPr>
            <m:ctrlPr>
              <w:rPr>
                <w:rFonts w:ascii="Cambria Math" w:hAnsi="Cambria Math"/>
                <w:i/>
              </w:rPr>
            </m:ctrlPr>
          </m:sSubPr>
          <m:e>
            <m:r>
              <m:rPr>
                <m:nor/>
              </m:rPr>
              <m:t>log</m:t>
            </m:r>
          </m:e>
          <m:sub>
            <m:r>
              <m:rPr>
                <m:nor/>
              </m:rPr>
              <m:t>10</m:t>
            </m:r>
          </m:sub>
        </m:sSub>
        <m:d>
          <m:dPr>
            <m:begChr m:val="["/>
            <m:endChr m:val="]"/>
            <m:ctrlPr>
              <w:rPr>
                <w:rFonts w:ascii="Cambria Math" w:hAnsi="Cambria Math"/>
                <w:i/>
              </w:rPr>
            </m:ctrlPr>
          </m:dPr>
          <m:e>
            <m:r>
              <m:rPr>
                <m:nor/>
              </m:rPr>
              <m:t xml:space="preserve">- </m:t>
            </m:r>
            <m:sSub>
              <m:sSubPr>
                <m:ctrlPr>
                  <w:rPr>
                    <w:rFonts w:ascii="Cambria Math" w:hAnsi="Cambria Math"/>
                    <w:i/>
                  </w:rPr>
                </m:ctrlPr>
              </m:sSubPr>
              <m:e>
                <m:r>
                  <m:rPr>
                    <m:nor/>
                  </m:rPr>
                  <w:rPr>
                    <w:i/>
                  </w:rPr>
                  <m:t>r</m:t>
                </m:r>
              </m:e>
              <m:sub>
                <m:r>
                  <m:rPr>
                    <m:nor/>
                  </m:rPr>
                  <m:t>a</m:t>
                </m:r>
              </m:sub>
            </m:sSub>
            <m:r>
              <m:rPr>
                <m:nor/>
              </m:rPr>
              <m:t>+</m:t>
            </m:r>
            <m:d>
              <m:dPr>
                <m:ctrlPr>
                  <w:rPr>
                    <w:rFonts w:ascii="Cambria Math" w:hAnsi="Cambria Math"/>
                    <w:i/>
                  </w:rPr>
                </m:ctrlPr>
              </m:dPr>
              <m:e>
                <m:f>
                  <m:fPr>
                    <m:ctrlPr>
                      <w:rPr>
                        <w:rFonts w:ascii="Cambria Math" w:hAnsi="Cambria Math"/>
                        <w:i/>
                      </w:rPr>
                    </m:ctrlPr>
                  </m:fPr>
                  <m:num>
                    <m:r>
                      <m:rPr>
                        <m:nor/>
                      </m:rPr>
                      <m:t xml:space="preserve">1+ </m:t>
                    </m:r>
                    <m:sSub>
                      <m:sSubPr>
                        <m:ctrlPr>
                          <w:rPr>
                            <w:rFonts w:ascii="Cambria Math" w:hAnsi="Cambria Math"/>
                            <w:i/>
                          </w:rPr>
                        </m:ctrlPr>
                      </m:sSubPr>
                      <m:e>
                        <m:r>
                          <m:rPr>
                            <m:nor/>
                          </m:rPr>
                          <w:rPr>
                            <w:i/>
                          </w:rPr>
                          <m:t>r</m:t>
                        </m:r>
                      </m:e>
                      <m:sub>
                        <m:r>
                          <m:rPr>
                            <m:nor/>
                          </m:rPr>
                          <m:t>a</m:t>
                        </m:r>
                      </m:sub>
                    </m:sSub>
                  </m:num>
                  <m:den>
                    <m:r>
                      <m:rPr>
                        <m:nor/>
                      </m:rPr>
                      <m:t>1-</m:t>
                    </m:r>
                    <m:sSub>
                      <m:sSubPr>
                        <m:ctrlPr>
                          <w:rPr>
                            <w:rFonts w:ascii="Cambria Math" w:hAnsi="Cambria Math"/>
                            <w:i/>
                          </w:rPr>
                        </m:ctrlPr>
                      </m:sSubPr>
                      <m:e>
                        <m:r>
                          <m:rPr>
                            <m:nor/>
                          </m:rPr>
                          <w:rPr>
                            <w:i/>
                          </w:rPr>
                          <m:t>R</m:t>
                        </m:r>
                      </m:e>
                      <m:sub>
                        <m:r>
                          <m:rPr>
                            <m:nor/>
                          </m:rPr>
                          <m:t>M</m:t>
                        </m:r>
                      </m:sub>
                    </m:sSub>
                  </m:den>
                </m:f>
              </m:e>
            </m:d>
            <m:r>
              <m:rPr>
                <m:nor/>
              </m:rPr>
              <m:t>·</m:t>
            </m:r>
            <m:f>
              <m:fPr>
                <m:ctrlPr>
                  <w:rPr>
                    <w:rFonts w:ascii="Cambria Math" w:hAnsi="Cambria Math"/>
                    <w:i/>
                  </w:rPr>
                </m:ctrlPr>
              </m:fPr>
              <m:num>
                <m:sSub>
                  <m:sSubPr>
                    <m:ctrlPr>
                      <w:rPr>
                        <w:rFonts w:ascii="Cambria Math" w:hAnsi="Cambria Math"/>
                        <w:i/>
                      </w:rPr>
                    </m:ctrlPr>
                  </m:sSubPr>
                  <m:e>
                    <m:r>
                      <m:rPr>
                        <m:nor/>
                      </m:rPr>
                      <w:rPr>
                        <w:i/>
                      </w:rPr>
                      <m:t>C</m:t>
                    </m:r>
                  </m:e>
                  <m:sub>
                    <m:r>
                      <m:rPr>
                        <m:nor/>
                      </m:rPr>
                      <m:t>D</m:t>
                    </m:r>
                  </m:sub>
                </m:sSub>
                <m:d>
                  <m:dPr>
                    <m:ctrlPr>
                      <w:rPr>
                        <w:rFonts w:ascii="Cambria Math" w:hAnsi="Cambria Math"/>
                        <w:i/>
                      </w:rPr>
                    </m:ctrlPr>
                  </m:dPr>
                  <m:e>
                    <m:r>
                      <m:rPr>
                        <m:nor/>
                      </m:rPr>
                      <w:rPr>
                        <w:i/>
                      </w:rPr>
                      <m:t>t</m:t>
                    </m:r>
                  </m:e>
                </m:d>
              </m:num>
              <m:den>
                <m:sSub>
                  <m:sSubPr>
                    <m:ctrlPr>
                      <w:rPr>
                        <w:rFonts w:ascii="Cambria Math" w:hAnsi="Cambria Math"/>
                        <w:i/>
                      </w:rPr>
                    </m:ctrlPr>
                  </m:sSubPr>
                  <m:e>
                    <m:r>
                      <m:rPr>
                        <m:nor/>
                      </m:rPr>
                      <w:rPr>
                        <w:i/>
                      </w:rPr>
                      <m:t>C</m:t>
                    </m:r>
                  </m:e>
                  <m:sub>
                    <m:r>
                      <m:rPr>
                        <m:nor/>
                      </m:rPr>
                      <m:t>D</m:t>
                    </m:r>
                  </m:sub>
                </m:sSub>
                <m:d>
                  <m:dPr>
                    <m:ctrlPr>
                      <w:rPr>
                        <w:rFonts w:ascii="Cambria Math" w:hAnsi="Cambria Math"/>
                        <w:i/>
                      </w:rPr>
                    </m:ctrlPr>
                  </m:dPr>
                  <m:e>
                    <m:r>
                      <m:rPr>
                        <m:nor/>
                      </m:rPr>
                      <m:t>0</m:t>
                    </m:r>
                  </m:e>
                </m:d>
              </m:den>
            </m:f>
          </m:e>
        </m:d>
      </m:oMath>
      <w:bookmarkEnd w:id="2"/>
      <w:r w:rsidR="00130D5C" w:rsidRPr="00D91ABA">
        <w:t xml:space="preserve">   </w:t>
      </w:r>
      <w:r w:rsidR="00D91ABA">
        <w:tab/>
      </w:r>
      <w:r w:rsidR="00823AAF" w:rsidRPr="00D91ABA">
        <w:t>(1</w:t>
      </w:r>
      <w:r w:rsidR="003B01F4" w:rsidRPr="00D91ABA">
        <w:t>)</w:t>
      </w:r>
    </w:p>
    <w:bookmarkStart w:id="3" w:name="_Hlk20061346"/>
    <w:p w14:paraId="3A178F3D" w14:textId="3D77AE85" w:rsidR="00823AAF" w:rsidRPr="00D91ABA" w:rsidRDefault="00363028" w:rsidP="00D91ABA">
      <w:pPr>
        <w:pStyle w:val="ADMETtext"/>
        <w:tabs>
          <w:tab w:val="right" w:pos="9498"/>
        </w:tabs>
        <w:rPr>
          <w:iCs/>
        </w:rPr>
      </w:pPr>
      <m:oMath>
        <m:sSub>
          <m:sSubPr>
            <m:ctrlPr>
              <w:rPr>
                <w:rFonts w:ascii="Cambria Math" w:hAnsi="Cambria Math" w:cstheme="minorHAnsi"/>
                <w:i/>
              </w:rPr>
            </m:ctrlPr>
          </m:sSubPr>
          <m:e>
            <m:r>
              <m:rPr>
                <m:nor/>
              </m:rPr>
              <w:rPr>
                <w:rFonts w:asciiTheme="minorHAnsi" w:hAnsiTheme="minorHAnsi" w:cstheme="minorHAnsi"/>
                <w:i/>
              </w:rPr>
              <m:t>R</m:t>
            </m:r>
          </m:e>
          <m:sub>
            <m:r>
              <m:rPr>
                <m:nor/>
              </m:rPr>
              <w:rPr>
                <w:rFonts w:asciiTheme="minorHAnsi" w:hAnsiTheme="minorHAnsi" w:cstheme="minorHAnsi"/>
              </w:rPr>
              <m:t>M</m:t>
            </m:r>
          </m:sub>
        </m:sSub>
        <m:r>
          <m:rPr>
            <m:nor/>
          </m:rPr>
          <w:rPr>
            <w:rFonts w:asciiTheme="minorHAnsi" w:hAnsiTheme="minorHAnsi" w:cstheme="minorHAnsi"/>
          </w:rPr>
          <m:t xml:space="preserve"> = 1-</m:t>
        </m:r>
        <m:f>
          <m:fPr>
            <m:ctrlPr>
              <w:rPr>
                <w:rFonts w:ascii="Cambria Math" w:hAnsi="Cambria Math" w:cstheme="minorHAnsi"/>
                <w:bCs/>
              </w:rPr>
            </m:ctrlPr>
          </m:fPr>
          <m:num>
            <m:sSub>
              <m:sSubPr>
                <m:ctrlPr>
                  <w:rPr>
                    <w:rFonts w:ascii="Cambria Math" w:hAnsi="Cambria Math" w:cstheme="minorHAnsi"/>
                    <w:bCs/>
                  </w:rPr>
                </m:ctrlPr>
              </m:sSubPr>
              <m:e>
                <m:r>
                  <m:rPr>
                    <m:nor/>
                  </m:rPr>
                  <w:rPr>
                    <w:rFonts w:asciiTheme="minorHAnsi" w:hAnsiTheme="minorHAnsi" w:cstheme="minorHAnsi"/>
                    <w:i/>
                  </w:rPr>
                  <m:t>C</m:t>
                </m:r>
              </m:e>
              <m:sub>
                <m:r>
                  <m:rPr>
                    <m:nor/>
                  </m:rPr>
                  <w:rPr>
                    <w:rFonts w:asciiTheme="minorHAnsi" w:hAnsiTheme="minorHAnsi" w:cstheme="minorHAnsi"/>
                  </w:rPr>
                  <m:t>D</m:t>
                </m:r>
              </m:sub>
            </m:sSub>
            <m:d>
              <m:dPr>
                <m:ctrlPr>
                  <w:rPr>
                    <w:rFonts w:ascii="Cambria Math" w:hAnsi="Cambria Math" w:cstheme="minorHAnsi"/>
                    <w:bCs/>
                  </w:rPr>
                </m:ctrlPr>
              </m:dPr>
              <m:e>
                <m:r>
                  <m:rPr>
                    <m:nor/>
                  </m:rPr>
                  <w:rPr>
                    <w:rFonts w:asciiTheme="minorHAnsi" w:hAnsiTheme="minorHAnsi" w:cstheme="minorHAnsi"/>
                  </w:rPr>
                  <m:t>t</m:t>
                </m:r>
              </m:e>
            </m:d>
          </m:num>
          <m:den>
            <m:sSub>
              <m:sSubPr>
                <m:ctrlPr>
                  <w:rPr>
                    <w:rFonts w:ascii="Cambria Math" w:hAnsi="Cambria Math" w:cstheme="minorHAnsi"/>
                    <w:bCs/>
                  </w:rPr>
                </m:ctrlPr>
              </m:sSubPr>
              <m:e>
                <m:r>
                  <m:rPr>
                    <m:nor/>
                  </m:rPr>
                  <w:rPr>
                    <w:rFonts w:asciiTheme="minorHAnsi" w:hAnsiTheme="minorHAnsi" w:cstheme="minorHAnsi"/>
                    <w:i/>
                  </w:rPr>
                  <m:t>C</m:t>
                </m:r>
              </m:e>
              <m:sub>
                <m:r>
                  <m:rPr>
                    <m:nor/>
                  </m:rPr>
                  <w:rPr>
                    <w:rFonts w:asciiTheme="minorHAnsi" w:hAnsiTheme="minorHAnsi" w:cstheme="minorHAnsi"/>
                  </w:rPr>
                  <m:t>D</m:t>
                </m:r>
              </m:sub>
            </m:sSub>
            <m:d>
              <m:dPr>
                <m:ctrlPr>
                  <w:rPr>
                    <w:rFonts w:ascii="Cambria Math" w:hAnsi="Cambria Math" w:cstheme="minorHAnsi"/>
                    <w:bCs/>
                  </w:rPr>
                </m:ctrlPr>
              </m:dPr>
              <m:e>
                <m:r>
                  <m:rPr>
                    <m:nor/>
                  </m:rPr>
                  <w:rPr>
                    <w:rFonts w:asciiTheme="minorHAnsi" w:hAnsiTheme="minorHAnsi" w:cstheme="minorHAnsi"/>
                  </w:rPr>
                  <m:t>0</m:t>
                </m:r>
              </m:e>
            </m:d>
          </m:den>
        </m:f>
        <m:r>
          <m:rPr>
            <m:nor/>
          </m:rPr>
          <w:rPr>
            <w:rFonts w:asciiTheme="minorHAnsi" w:hAnsiTheme="minorHAnsi" w:cstheme="minorHAnsi"/>
          </w:rPr>
          <m:t>-</m:t>
        </m:r>
        <m:f>
          <m:fPr>
            <m:ctrlPr>
              <w:rPr>
                <w:rFonts w:ascii="Cambria Math" w:hAnsi="Cambria Math" w:cstheme="minorHAnsi"/>
                <w:bCs/>
              </w:rPr>
            </m:ctrlPr>
          </m:fPr>
          <m:num>
            <m:sSub>
              <m:sSubPr>
                <m:ctrlPr>
                  <w:rPr>
                    <w:rFonts w:ascii="Cambria Math" w:hAnsi="Cambria Math" w:cstheme="minorHAnsi"/>
                    <w:bCs/>
                  </w:rPr>
                </m:ctrlPr>
              </m:sSubPr>
              <m:e>
                <m:r>
                  <m:rPr>
                    <m:nor/>
                  </m:rPr>
                  <w:rPr>
                    <w:rFonts w:asciiTheme="minorHAnsi" w:hAnsiTheme="minorHAnsi" w:cstheme="minorHAnsi"/>
                    <w:i/>
                  </w:rPr>
                  <m:t>V</m:t>
                </m:r>
              </m:e>
              <m:sub>
                <m:r>
                  <m:rPr>
                    <m:nor/>
                  </m:rPr>
                  <w:rPr>
                    <w:rFonts w:asciiTheme="minorHAnsi" w:hAnsiTheme="minorHAnsi" w:cstheme="minorHAnsi"/>
                  </w:rPr>
                  <m:t>A</m:t>
                </m:r>
              </m:sub>
            </m:sSub>
          </m:num>
          <m:den>
            <m:sSub>
              <m:sSubPr>
                <m:ctrlPr>
                  <w:rPr>
                    <w:rFonts w:ascii="Cambria Math" w:hAnsi="Cambria Math" w:cstheme="minorHAnsi"/>
                    <w:bCs/>
                  </w:rPr>
                </m:ctrlPr>
              </m:sSubPr>
              <m:e>
                <m:r>
                  <m:rPr>
                    <m:nor/>
                  </m:rPr>
                  <w:rPr>
                    <w:rFonts w:asciiTheme="minorHAnsi" w:hAnsiTheme="minorHAnsi" w:cstheme="minorHAnsi"/>
                    <w:i/>
                  </w:rPr>
                  <m:t>V</m:t>
                </m:r>
              </m:e>
              <m:sub>
                <m:r>
                  <m:rPr>
                    <m:nor/>
                  </m:rPr>
                  <w:rPr>
                    <w:rFonts w:asciiTheme="minorHAnsi" w:hAnsiTheme="minorHAnsi" w:cstheme="minorHAnsi"/>
                  </w:rPr>
                  <m:t>D</m:t>
                </m:r>
              </m:sub>
            </m:sSub>
          </m:den>
        </m:f>
        <m:f>
          <m:fPr>
            <m:ctrlPr>
              <w:rPr>
                <w:rFonts w:ascii="Cambria Math" w:hAnsi="Cambria Math" w:cstheme="minorHAnsi"/>
                <w:bCs/>
              </w:rPr>
            </m:ctrlPr>
          </m:fPr>
          <m:num>
            <m:sSub>
              <m:sSubPr>
                <m:ctrlPr>
                  <w:rPr>
                    <w:rFonts w:ascii="Cambria Math" w:hAnsi="Cambria Math" w:cstheme="minorHAnsi"/>
                    <w:bCs/>
                  </w:rPr>
                </m:ctrlPr>
              </m:sSubPr>
              <m:e>
                <m:r>
                  <m:rPr>
                    <m:nor/>
                  </m:rPr>
                  <w:rPr>
                    <w:rFonts w:asciiTheme="minorHAnsi" w:hAnsiTheme="minorHAnsi" w:cstheme="minorHAnsi"/>
                    <w:i/>
                  </w:rPr>
                  <m:t>C</m:t>
                </m:r>
              </m:e>
              <m:sub>
                <m:r>
                  <m:rPr>
                    <m:nor/>
                  </m:rPr>
                  <w:rPr>
                    <w:rFonts w:asciiTheme="minorHAnsi" w:hAnsiTheme="minorHAnsi" w:cstheme="minorHAnsi"/>
                  </w:rPr>
                  <m:t>A</m:t>
                </m:r>
              </m:sub>
            </m:sSub>
            <m:r>
              <m:rPr>
                <m:nor/>
              </m:rPr>
              <w:rPr>
                <w:rFonts w:asciiTheme="minorHAnsi" w:hAnsiTheme="minorHAnsi" w:cstheme="minorHAnsi"/>
              </w:rPr>
              <m:t>(</m:t>
            </m:r>
            <m:r>
              <m:rPr>
                <m:nor/>
              </m:rPr>
              <w:rPr>
                <w:rFonts w:asciiTheme="minorHAnsi" w:hAnsiTheme="minorHAnsi" w:cstheme="minorHAnsi"/>
                <w:i/>
              </w:rPr>
              <m:t>t</m:t>
            </m:r>
            <m:r>
              <m:rPr>
                <m:nor/>
              </m:rPr>
              <w:rPr>
                <w:rFonts w:asciiTheme="minorHAnsi" w:hAnsiTheme="minorHAnsi" w:cstheme="minorHAnsi"/>
              </w:rPr>
              <m:t>)</m:t>
            </m:r>
          </m:num>
          <m:den>
            <m:sSub>
              <m:sSubPr>
                <m:ctrlPr>
                  <w:rPr>
                    <w:rFonts w:ascii="Cambria Math" w:hAnsi="Cambria Math" w:cstheme="minorHAnsi"/>
                    <w:bCs/>
                  </w:rPr>
                </m:ctrlPr>
              </m:sSubPr>
              <m:e>
                <m:r>
                  <m:rPr>
                    <m:nor/>
                  </m:rPr>
                  <w:rPr>
                    <w:rFonts w:asciiTheme="minorHAnsi" w:hAnsiTheme="minorHAnsi" w:cstheme="minorHAnsi"/>
                    <w:i/>
                  </w:rPr>
                  <m:t>C</m:t>
                </m:r>
              </m:e>
              <m:sub>
                <m:r>
                  <m:rPr>
                    <m:nor/>
                  </m:rPr>
                  <w:rPr>
                    <w:rFonts w:asciiTheme="minorHAnsi" w:hAnsiTheme="minorHAnsi" w:cstheme="minorHAnsi"/>
                  </w:rPr>
                  <m:t>D</m:t>
                </m:r>
              </m:sub>
            </m:sSub>
            <m:r>
              <m:rPr>
                <m:nor/>
              </m:rPr>
              <w:rPr>
                <w:rFonts w:asciiTheme="minorHAnsi" w:hAnsiTheme="minorHAnsi" w:cstheme="minorHAnsi"/>
              </w:rPr>
              <m:t>(0)</m:t>
            </m:r>
          </m:den>
        </m:f>
      </m:oMath>
      <w:bookmarkEnd w:id="3"/>
      <w:r w:rsidR="0000131D" w:rsidRPr="00D91ABA">
        <w:rPr>
          <w:bCs/>
        </w:rPr>
        <w:t xml:space="preserve"> </w:t>
      </w:r>
      <w:r w:rsidR="00823AAF" w:rsidRPr="00D91ABA">
        <w:t xml:space="preserve"> </w:t>
      </w:r>
      <w:r w:rsidR="00D91ABA">
        <w:tab/>
      </w:r>
      <w:r w:rsidR="00823AAF" w:rsidRPr="00D91ABA">
        <w:t>(2)</w:t>
      </w:r>
    </w:p>
    <w:p w14:paraId="34DEDDD2" w14:textId="1EDE4BBA" w:rsidR="00524E26" w:rsidRPr="00D91ABA" w:rsidRDefault="00524E26" w:rsidP="00D91ABA">
      <w:pPr>
        <w:pStyle w:val="ADMETtext"/>
        <w:rPr>
          <w:lang w:val="en-GB"/>
        </w:rPr>
      </w:pPr>
      <w:r w:rsidRPr="00D91ABA">
        <w:rPr>
          <w:lang w:val="en-GB"/>
        </w:rPr>
        <w:t xml:space="preserve">where </w:t>
      </w:r>
      <w:proofErr w:type="spellStart"/>
      <w:r w:rsidRPr="0077382F">
        <w:rPr>
          <w:i/>
          <w:lang w:val="en-GB"/>
        </w:rPr>
        <w:t>P</w:t>
      </w:r>
      <w:r w:rsidRPr="00D91ABA">
        <w:rPr>
          <w:vertAlign w:val="subscript"/>
          <w:lang w:val="en-GB"/>
        </w:rPr>
        <w:t>e</w:t>
      </w:r>
      <w:proofErr w:type="spellEnd"/>
      <w:r w:rsidRPr="00D91ABA">
        <w:rPr>
          <w:lang w:val="en-GB"/>
        </w:rPr>
        <w:t xml:space="preserve"> is the effective permeability coefficient (cm/s), </w:t>
      </w:r>
      <w:r w:rsidRPr="0077382F">
        <w:rPr>
          <w:i/>
          <w:lang w:val="en-GB"/>
        </w:rPr>
        <w:t>V</w:t>
      </w:r>
      <w:r w:rsidRPr="00D91ABA">
        <w:rPr>
          <w:vertAlign w:val="subscript"/>
          <w:lang w:val="en-GB"/>
        </w:rPr>
        <w:t>D</w:t>
      </w:r>
      <w:r w:rsidRPr="00D91ABA">
        <w:rPr>
          <w:lang w:val="en-GB"/>
        </w:rPr>
        <w:t xml:space="preserve"> and </w:t>
      </w:r>
      <w:r w:rsidRPr="0077382F">
        <w:rPr>
          <w:i/>
          <w:lang w:val="en-GB"/>
        </w:rPr>
        <w:t>V</w:t>
      </w:r>
      <w:r w:rsidRPr="00D91ABA">
        <w:rPr>
          <w:vertAlign w:val="subscript"/>
          <w:lang w:val="en-GB"/>
        </w:rPr>
        <w:t>A</w:t>
      </w:r>
      <w:r w:rsidRPr="00D91ABA">
        <w:rPr>
          <w:lang w:val="en-GB"/>
        </w:rPr>
        <w:t xml:space="preserve"> </w:t>
      </w:r>
      <w:r w:rsidR="00B37B9D" w:rsidRPr="00D91ABA">
        <w:rPr>
          <w:lang w:val="en-GB"/>
        </w:rPr>
        <w:t xml:space="preserve">are </w:t>
      </w:r>
      <w:r w:rsidRPr="00D91ABA">
        <w:rPr>
          <w:lang w:val="en-GB"/>
        </w:rPr>
        <w:t xml:space="preserve">the volume of solution in the donor side (180 µL stirred assay or 200 µL unstirred assay) and acceptor side (200 µL), respectively, </w:t>
      </w:r>
      <w:r w:rsidRPr="0077382F">
        <w:rPr>
          <w:i/>
          <w:lang w:val="en-GB"/>
        </w:rPr>
        <w:t>A</w:t>
      </w:r>
      <w:r w:rsidRPr="00D91ABA">
        <w:rPr>
          <w:lang w:val="en-GB"/>
        </w:rPr>
        <w:t xml:space="preserve"> is the membrane area (0.3 cm</w:t>
      </w:r>
      <w:r w:rsidRPr="00D91ABA">
        <w:rPr>
          <w:vertAlign w:val="superscript"/>
          <w:lang w:val="en-GB"/>
        </w:rPr>
        <w:t>2</w:t>
      </w:r>
      <w:r w:rsidRPr="00D91ABA">
        <w:rPr>
          <w:lang w:val="en-GB"/>
        </w:rPr>
        <w:t xml:space="preserve">), </w:t>
      </w:r>
      <w:r w:rsidRPr="0077382F">
        <w:rPr>
          <w:i/>
          <w:lang w:val="en-GB"/>
        </w:rPr>
        <w:t>t</w:t>
      </w:r>
      <w:r w:rsidRPr="00D91ABA">
        <w:rPr>
          <w:lang w:val="en-GB"/>
        </w:rPr>
        <w:t xml:space="preserve"> is </w:t>
      </w:r>
      <w:r w:rsidRPr="00D91ABA">
        <w:t>the</w:t>
      </w:r>
      <w:r w:rsidRPr="00D91ABA">
        <w:rPr>
          <w:lang w:val="en-GB"/>
        </w:rPr>
        <w:t xml:space="preserve"> incubation time of the experiment (s), </w:t>
      </w:r>
      <w:proofErr w:type="spellStart"/>
      <w:r w:rsidRPr="0077382F">
        <w:rPr>
          <w:i/>
          <w:lang w:val="en-GB"/>
        </w:rPr>
        <w:t>τ</w:t>
      </w:r>
      <w:r w:rsidRPr="00D91ABA">
        <w:rPr>
          <w:vertAlign w:val="subscript"/>
          <w:lang w:val="en-GB"/>
        </w:rPr>
        <w:t>ss</w:t>
      </w:r>
      <w:proofErr w:type="spellEnd"/>
      <w:r w:rsidRPr="00D91ABA">
        <w:rPr>
          <w:lang w:val="en-GB"/>
        </w:rPr>
        <w:t xml:space="preserve"> is the lag time (s) [</w:t>
      </w:r>
      <w:proofErr w:type="spellStart"/>
      <w:r w:rsidRPr="0077382F">
        <w:rPr>
          <w:i/>
          <w:lang w:val="en-GB"/>
        </w:rPr>
        <w:t>τ</w:t>
      </w:r>
      <w:r w:rsidRPr="00D91ABA">
        <w:rPr>
          <w:vertAlign w:val="subscript"/>
          <w:lang w:val="en-GB"/>
        </w:rPr>
        <w:t>ss</w:t>
      </w:r>
      <w:proofErr w:type="spellEnd"/>
      <w:r w:rsidRPr="00D91ABA">
        <w:rPr>
          <w:lang w:val="en-GB"/>
        </w:rPr>
        <w:t>=(54·</w:t>
      </w:r>
      <w:r w:rsidRPr="0077382F">
        <w:rPr>
          <w:i/>
          <w:lang w:val="en-GB"/>
        </w:rPr>
        <w:t>R</w:t>
      </w:r>
      <w:r w:rsidRPr="00D91ABA">
        <w:rPr>
          <w:vertAlign w:val="subscript"/>
          <w:lang w:val="en-GB"/>
        </w:rPr>
        <w:t>M</w:t>
      </w:r>
      <w:r w:rsidRPr="00D91ABA">
        <w:rPr>
          <w:lang w:val="en-GB"/>
        </w:rPr>
        <w:t>+1)·60</w:t>
      </w:r>
      <w:r w:rsidR="0077382F">
        <w:rPr>
          <w:lang w:val="en-GB"/>
        </w:rPr>
        <w:t xml:space="preserve"> </w:t>
      </w:r>
      <w:r w:rsidRPr="00D91ABA">
        <w:rPr>
          <w:lang w:val="en-GB"/>
        </w:rPr>
        <w:t xml:space="preserve">s], </w:t>
      </w:r>
      <w:proofErr w:type="spellStart"/>
      <w:r w:rsidRPr="0077382F">
        <w:rPr>
          <w:i/>
          <w:lang w:val="en-GB"/>
        </w:rPr>
        <w:t>ε</w:t>
      </w:r>
      <w:r w:rsidRPr="00D91ABA">
        <w:rPr>
          <w:vertAlign w:val="subscript"/>
          <w:lang w:val="en-GB"/>
        </w:rPr>
        <w:t>a</w:t>
      </w:r>
      <w:proofErr w:type="spellEnd"/>
      <w:r w:rsidRPr="00D91ABA">
        <w:rPr>
          <w:lang w:val="en-GB"/>
        </w:rPr>
        <w:t xml:space="preserve"> is the apparent membrane porosity (0.76), </w:t>
      </w:r>
      <w:r w:rsidRPr="0077382F">
        <w:rPr>
          <w:i/>
          <w:lang w:val="en-GB"/>
        </w:rPr>
        <w:t>C</w:t>
      </w:r>
      <w:r w:rsidRPr="00D91ABA">
        <w:rPr>
          <w:vertAlign w:val="subscript"/>
          <w:lang w:val="en-GB"/>
        </w:rPr>
        <w:t>D</w:t>
      </w:r>
      <w:r w:rsidRPr="00D91ABA">
        <w:rPr>
          <w:lang w:val="en-GB"/>
        </w:rPr>
        <w:t>(</w:t>
      </w:r>
      <w:r w:rsidRPr="0077382F">
        <w:rPr>
          <w:i/>
          <w:lang w:val="en-GB"/>
        </w:rPr>
        <w:t>t</w:t>
      </w:r>
      <w:r w:rsidRPr="00D91ABA">
        <w:rPr>
          <w:lang w:val="en-GB"/>
        </w:rPr>
        <w:t xml:space="preserve">) is the concentration in the donor side at time </w:t>
      </w:r>
      <w:r w:rsidRPr="0077382F">
        <w:rPr>
          <w:i/>
          <w:lang w:val="en-GB"/>
        </w:rPr>
        <w:t>t</w:t>
      </w:r>
      <w:r w:rsidRPr="00D91ABA">
        <w:rPr>
          <w:lang w:val="en-GB"/>
        </w:rPr>
        <w:t xml:space="preserve">, </w:t>
      </w:r>
      <w:r w:rsidRPr="0077382F">
        <w:rPr>
          <w:i/>
          <w:lang w:val="en-GB"/>
        </w:rPr>
        <w:t>C</w:t>
      </w:r>
      <w:r w:rsidRPr="00D91ABA">
        <w:rPr>
          <w:vertAlign w:val="subscript"/>
          <w:lang w:val="en-GB"/>
        </w:rPr>
        <w:t>D</w:t>
      </w:r>
      <w:r w:rsidRPr="00D91ABA">
        <w:rPr>
          <w:lang w:val="en-GB"/>
        </w:rPr>
        <w:t xml:space="preserve">(0) is the initial concentration in the donor side, </w:t>
      </w:r>
      <w:r w:rsidRPr="0077382F">
        <w:rPr>
          <w:i/>
          <w:lang w:val="en-GB"/>
        </w:rPr>
        <w:t>C</w:t>
      </w:r>
      <w:r w:rsidRPr="00D91ABA">
        <w:rPr>
          <w:vertAlign w:val="subscript"/>
          <w:lang w:val="en-GB"/>
        </w:rPr>
        <w:t>A</w:t>
      </w:r>
      <w:r w:rsidRPr="00D91ABA">
        <w:rPr>
          <w:lang w:val="en-GB"/>
        </w:rPr>
        <w:t>(</w:t>
      </w:r>
      <w:r w:rsidRPr="0077382F">
        <w:rPr>
          <w:i/>
          <w:lang w:val="en-GB"/>
        </w:rPr>
        <w:t>t</w:t>
      </w:r>
      <w:r w:rsidRPr="00D91ABA">
        <w:rPr>
          <w:lang w:val="en-GB"/>
        </w:rPr>
        <w:t xml:space="preserve">) is the concentration in the acceptor side at time </w:t>
      </w:r>
      <w:r w:rsidRPr="0077382F">
        <w:rPr>
          <w:i/>
          <w:lang w:val="en-GB"/>
        </w:rPr>
        <w:t>t</w:t>
      </w:r>
      <w:r w:rsidRPr="00D91ABA">
        <w:rPr>
          <w:lang w:val="en-GB"/>
        </w:rPr>
        <w:t>,</w:t>
      </w:r>
      <w:r w:rsidR="00656684" w:rsidRPr="00D91ABA">
        <w:rPr>
          <w:lang w:val="en-GB"/>
        </w:rPr>
        <w:t xml:space="preserve"> </w:t>
      </w:r>
      <w:r w:rsidRPr="0077382F">
        <w:rPr>
          <w:i/>
          <w:lang w:val="en-GB"/>
        </w:rPr>
        <w:t>R</w:t>
      </w:r>
      <w:r w:rsidRPr="00D91ABA">
        <w:rPr>
          <w:vertAlign w:val="subscript"/>
          <w:lang w:val="en-GB"/>
        </w:rPr>
        <w:t>M</w:t>
      </w:r>
      <w:r w:rsidRPr="00D91ABA">
        <w:rPr>
          <w:lang w:val="en-GB"/>
        </w:rPr>
        <w:t xml:space="preserve"> is the membrane retention</w:t>
      </w:r>
      <w:r w:rsidR="00656684" w:rsidRPr="00D91ABA">
        <w:rPr>
          <w:lang w:val="en-GB"/>
        </w:rPr>
        <w:t xml:space="preserve"> and </w:t>
      </w:r>
      <w:proofErr w:type="spellStart"/>
      <w:r w:rsidR="00656684" w:rsidRPr="0077382F">
        <w:rPr>
          <w:i/>
          <w:lang w:val="en-GB"/>
        </w:rPr>
        <w:t>r</w:t>
      </w:r>
      <w:r w:rsidR="00656684" w:rsidRPr="00D91ABA">
        <w:rPr>
          <w:vertAlign w:val="subscript"/>
          <w:lang w:val="en-GB"/>
        </w:rPr>
        <w:t>a</w:t>
      </w:r>
      <w:proofErr w:type="spellEnd"/>
      <w:r w:rsidR="00656684" w:rsidRPr="00D91ABA">
        <w:rPr>
          <w:vertAlign w:val="subscript"/>
          <w:lang w:val="en-GB"/>
        </w:rPr>
        <w:t xml:space="preserve"> </w:t>
      </w:r>
      <w:r w:rsidR="00656684" w:rsidRPr="00D91ABA">
        <w:rPr>
          <w:lang w:val="en-GB"/>
        </w:rPr>
        <w:t>is the sink asymmetry ratio (gradient-pH-induced)</w:t>
      </w:r>
      <w:r w:rsidR="009A2779" w:rsidRPr="00D91ABA">
        <w:rPr>
          <w:lang w:val="en-GB"/>
        </w:rPr>
        <w:t>, defined as:</w:t>
      </w:r>
    </w:p>
    <w:p w14:paraId="64F07FC7" w14:textId="1C7A5BDE" w:rsidR="009A2779" w:rsidRPr="00D91ABA" w:rsidRDefault="00363028" w:rsidP="00D91ABA">
      <w:pPr>
        <w:pStyle w:val="ADMETtext"/>
        <w:tabs>
          <w:tab w:val="right" w:pos="9498"/>
        </w:tabs>
        <w:jc w:val="left"/>
        <w:rPr>
          <w:iCs/>
          <w:color w:val="auto"/>
          <w:lang w:val="es-ES"/>
        </w:rPr>
      </w:pPr>
      <m:oMath>
        <m:sSub>
          <m:sSubPr>
            <m:ctrlPr>
              <w:rPr>
                <w:rFonts w:ascii="Cambria Math" w:hAnsi="Cambria Math" w:cs="Calibri"/>
                <w:i/>
                <w:color w:val="auto"/>
              </w:rPr>
            </m:ctrlPr>
          </m:sSubPr>
          <m:e>
            <m:r>
              <m:rPr>
                <m:nor/>
              </m:rPr>
              <w:rPr>
                <w:rFonts w:cs="Calibri"/>
                <w:i/>
                <w:color w:val="auto"/>
                <w:lang w:val="es-ES"/>
              </w:rPr>
              <m:t>r</m:t>
            </m:r>
          </m:e>
          <m:sub>
            <m:r>
              <m:rPr>
                <m:nor/>
              </m:rPr>
              <w:rPr>
                <w:rFonts w:cs="Calibri"/>
                <w:color w:val="auto"/>
                <w:lang w:val="es-ES"/>
              </w:rPr>
              <m:t>a</m:t>
            </m:r>
          </m:sub>
        </m:sSub>
        <m:r>
          <m:rPr>
            <m:nor/>
          </m:rPr>
          <w:rPr>
            <w:rFonts w:cs="Calibri"/>
            <w:color w:val="auto"/>
            <w:lang w:val="es-ES"/>
          </w:rPr>
          <m:t>=</m:t>
        </m:r>
        <m:d>
          <m:dPr>
            <m:ctrlPr>
              <w:rPr>
                <w:rFonts w:ascii="Cambria Math" w:hAnsi="Cambria Math" w:cs="Calibri"/>
                <w:i/>
                <w:color w:val="auto"/>
              </w:rPr>
            </m:ctrlPr>
          </m:dPr>
          <m:e>
            <m:f>
              <m:fPr>
                <m:ctrlPr>
                  <w:rPr>
                    <w:rFonts w:ascii="Cambria Math" w:hAnsi="Cambria Math" w:cs="Calibri"/>
                    <w:i/>
                    <w:color w:val="auto"/>
                  </w:rPr>
                </m:ctrlPr>
              </m:fPr>
              <m:num>
                <m:sSub>
                  <m:sSubPr>
                    <m:ctrlPr>
                      <w:rPr>
                        <w:rFonts w:ascii="Cambria Math" w:hAnsi="Cambria Math" w:cs="Calibri"/>
                        <w:i/>
                        <w:color w:val="auto"/>
                      </w:rPr>
                    </m:ctrlPr>
                  </m:sSubPr>
                  <m:e>
                    <m:r>
                      <m:rPr>
                        <m:nor/>
                      </m:rPr>
                      <w:rPr>
                        <w:rFonts w:cs="Calibri"/>
                        <w:i/>
                        <w:color w:val="auto"/>
                        <w:lang w:val="es-ES"/>
                      </w:rPr>
                      <m:t>V</m:t>
                    </m:r>
                  </m:e>
                  <m:sub>
                    <m:r>
                      <m:rPr>
                        <m:nor/>
                      </m:rPr>
                      <w:rPr>
                        <w:rFonts w:cs="Calibri"/>
                        <w:color w:val="auto"/>
                        <w:lang w:val="es-ES"/>
                      </w:rPr>
                      <m:t>D</m:t>
                    </m:r>
                  </m:sub>
                </m:sSub>
              </m:num>
              <m:den>
                <m:sSub>
                  <m:sSubPr>
                    <m:ctrlPr>
                      <w:rPr>
                        <w:rFonts w:ascii="Cambria Math" w:hAnsi="Cambria Math" w:cs="Calibri"/>
                        <w:i/>
                        <w:color w:val="auto"/>
                      </w:rPr>
                    </m:ctrlPr>
                  </m:sSubPr>
                  <m:e>
                    <m:r>
                      <m:rPr>
                        <m:nor/>
                      </m:rPr>
                      <w:rPr>
                        <w:rFonts w:cs="Calibri"/>
                        <w:i/>
                        <w:color w:val="auto"/>
                        <w:lang w:val="es-ES"/>
                      </w:rPr>
                      <m:t>V</m:t>
                    </m:r>
                  </m:e>
                  <m:sub>
                    <m:r>
                      <m:rPr>
                        <m:nor/>
                      </m:rPr>
                      <w:rPr>
                        <w:rFonts w:cs="Calibri"/>
                        <w:color w:val="auto"/>
                        <w:lang w:val="es-ES"/>
                      </w:rPr>
                      <m:t>A</m:t>
                    </m:r>
                  </m:sub>
                </m:sSub>
              </m:den>
            </m:f>
          </m:e>
        </m:d>
        <m:f>
          <m:fPr>
            <m:ctrlPr>
              <w:rPr>
                <w:rFonts w:ascii="Cambria Math" w:hAnsi="Cambria Math" w:cs="Calibri"/>
                <w:i/>
                <w:color w:val="auto"/>
              </w:rPr>
            </m:ctrlPr>
          </m:fPr>
          <m:num>
            <m:sSub>
              <m:sSubPr>
                <m:ctrlPr>
                  <w:rPr>
                    <w:rFonts w:ascii="Cambria Math" w:hAnsi="Cambria Math" w:cs="Calibri"/>
                    <w:i/>
                    <w:color w:val="auto"/>
                  </w:rPr>
                </m:ctrlPr>
              </m:sSubPr>
              <m:e>
                <m:r>
                  <m:rPr>
                    <m:nor/>
                  </m:rPr>
                  <w:rPr>
                    <w:rFonts w:cs="Calibri"/>
                    <w:i/>
                    <w:color w:val="auto"/>
                    <w:lang w:val="es-ES"/>
                  </w:rPr>
                  <m:t>P</m:t>
                </m:r>
              </m:e>
              <m:sub>
                <m:r>
                  <m:rPr>
                    <m:nor/>
                  </m:rPr>
                  <w:rPr>
                    <w:rFonts w:cs="Calibri"/>
                    <w:color w:val="auto"/>
                    <w:lang w:val="es-ES"/>
                  </w:rPr>
                  <m:t>e(A→D)</m:t>
                </m:r>
              </m:sub>
            </m:sSub>
          </m:num>
          <m:den>
            <m:sSub>
              <m:sSubPr>
                <m:ctrlPr>
                  <w:rPr>
                    <w:rFonts w:ascii="Cambria Math" w:hAnsi="Cambria Math" w:cs="Calibri"/>
                    <w:i/>
                    <w:color w:val="auto"/>
                  </w:rPr>
                </m:ctrlPr>
              </m:sSubPr>
              <m:e>
                <m:r>
                  <m:rPr>
                    <m:nor/>
                  </m:rPr>
                  <w:rPr>
                    <w:rFonts w:cs="Calibri"/>
                    <w:i/>
                    <w:color w:val="auto"/>
                    <w:lang w:val="es-ES"/>
                  </w:rPr>
                  <m:t>P</m:t>
                </m:r>
              </m:e>
              <m:sub>
                <m:r>
                  <m:rPr>
                    <m:nor/>
                  </m:rPr>
                  <w:rPr>
                    <w:rFonts w:cs="Calibri"/>
                    <w:color w:val="auto"/>
                    <w:lang w:val="es-ES"/>
                  </w:rPr>
                  <m:t>e(D→A)</m:t>
                </m:r>
              </m:sub>
            </m:sSub>
          </m:den>
        </m:f>
      </m:oMath>
      <w:r w:rsidR="009A2779" w:rsidRPr="00D91ABA">
        <w:rPr>
          <w:color w:val="auto"/>
          <w:lang w:val="es-ES"/>
        </w:rPr>
        <w:t xml:space="preserve">                                                                          </w:t>
      </w:r>
      <w:r w:rsidR="00D516E9" w:rsidRPr="00D91ABA">
        <w:rPr>
          <w:color w:val="auto"/>
          <w:lang w:val="es-ES"/>
        </w:rPr>
        <w:t xml:space="preserve">                                      </w:t>
      </w:r>
      <w:r w:rsidR="00D91ABA">
        <w:rPr>
          <w:color w:val="auto"/>
          <w:lang w:val="es-ES"/>
        </w:rPr>
        <w:t xml:space="preserve">    </w:t>
      </w:r>
      <w:r w:rsidR="00D91ABA">
        <w:rPr>
          <w:color w:val="auto"/>
          <w:lang w:val="es-ES"/>
        </w:rPr>
        <w:tab/>
      </w:r>
      <w:r w:rsidR="009A2779" w:rsidRPr="00D91ABA">
        <w:rPr>
          <w:color w:val="auto"/>
          <w:lang w:val="es-ES"/>
        </w:rPr>
        <w:t>(3)</w:t>
      </w:r>
    </w:p>
    <w:p w14:paraId="7962E1DC" w14:textId="7A334325" w:rsidR="00676F05" w:rsidRPr="00D91ABA" w:rsidRDefault="00524E26" w:rsidP="00D91ABA">
      <w:pPr>
        <w:pStyle w:val="ADMETtext"/>
        <w:rPr>
          <w:lang w:val="en-GB"/>
        </w:rPr>
      </w:pPr>
      <w:r w:rsidRPr="00D91ABA">
        <w:rPr>
          <w:lang w:val="en-GB"/>
        </w:rPr>
        <w:t xml:space="preserve">When the pH is different </w:t>
      </w:r>
      <w:r w:rsidR="0069533A" w:rsidRPr="00D91ABA">
        <w:rPr>
          <w:lang w:val="en-GB"/>
        </w:rPr>
        <w:t>in the</w:t>
      </w:r>
      <w:r w:rsidRPr="00D91ABA">
        <w:rPr>
          <w:lang w:val="en-GB"/>
        </w:rPr>
        <w:t xml:space="preserve"> two sides </w:t>
      </w:r>
      <w:r w:rsidR="00C25982" w:rsidRPr="00D91ABA">
        <w:rPr>
          <w:lang w:val="en-GB"/>
        </w:rPr>
        <w:t>of the membrane, a</w:t>
      </w:r>
      <w:r w:rsidR="00455492" w:rsidRPr="00D91ABA">
        <w:rPr>
          <w:lang w:val="en-GB"/>
        </w:rPr>
        <w:t xml:space="preserve"> gradient-pH</w:t>
      </w:r>
      <w:r w:rsidR="00C25982" w:rsidRPr="00D91ABA">
        <w:rPr>
          <w:lang w:val="en-GB"/>
        </w:rPr>
        <w:t xml:space="preserve"> </w:t>
      </w:r>
      <w:r w:rsidR="00C519CF" w:rsidRPr="00D91ABA">
        <w:rPr>
          <w:lang w:val="en-GB"/>
        </w:rPr>
        <w:t xml:space="preserve">is created </w:t>
      </w:r>
      <w:r w:rsidR="00C25982" w:rsidRPr="00D91ABA">
        <w:rPr>
          <w:lang w:val="en-GB"/>
        </w:rPr>
        <w:t xml:space="preserve">and </w:t>
      </w:r>
      <w:r w:rsidRPr="00D91ABA">
        <w:rPr>
          <w:lang w:val="en-GB"/>
        </w:rPr>
        <w:t xml:space="preserve">the permeation of </w:t>
      </w:r>
      <w:proofErr w:type="spellStart"/>
      <w:r w:rsidRPr="00D91ABA">
        <w:rPr>
          <w:lang w:val="en-GB"/>
        </w:rPr>
        <w:t>ionizable</w:t>
      </w:r>
      <w:proofErr w:type="spellEnd"/>
      <w:r w:rsidRPr="00D91ABA">
        <w:rPr>
          <w:lang w:val="en-GB"/>
        </w:rPr>
        <w:t xml:space="preserve"> molecules can be altered</w:t>
      </w:r>
      <w:r w:rsidR="007B6D15" w:rsidRPr="00D91ABA">
        <w:rPr>
          <w:lang w:val="en-GB"/>
        </w:rPr>
        <w:t>. T</w:t>
      </w:r>
      <w:r w:rsidR="00C25982" w:rsidRPr="00D91ABA">
        <w:rPr>
          <w:lang w:val="en-GB"/>
        </w:rPr>
        <w:t>his gradient-pH implies two</w:t>
      </w:r>
      <w:r w:rsidR="00E32EB2" w:rsidRPr="00D91ABA">
        <w:rPr>
          <w:lang w:val="en-GB"/>
        </w:rPr>
        <w:t xml:space="preserve"> different permeability coefficients, one denoted by the superscript (D→A), associated with donor to acceptor </w:t>
      </w:r>
      <w:r w:rsidR="00175711" w:rsidRPr="00D91ABA">
        <w:rPr>
          <w:lang w:val="en-GB"/>
        </w:rPr>
        <w:t>flux</w:t>
      </w:r>
      <w:r w:rsidR="00E32EB2" w:rsidRPr="00D91ABA">
        <w:rPr>
          <w:lang w:val="en-GB"/>
        </w:rPr>
        <w:t>, and the other denoted by the superscript (A→D), corresponding to the reverse</w:t>
      </w:r>
      <w:r w:rsidR="00175711" w:rsidRPr="00D91ABA">
        <w:rPr>
          <w:lang w:val="en-GB"/>
        </w:rPr>
        <w:t xml:space="preserve">-direction flux. </w:t>
      </w:r>
      <w:r w:rsidR="000534E4" w:rsidRPr="00D91ABA">
        <w:rPr>
          <w:lang w:val="en-GB"/>
        </w:rPr>
        <w:t xml:space="preserve">As equation (3) has two </w:t>
      </w:r>
      <w:r w:rsidR="00676F05" w:rsidRPr="00D91ABA">
        <w:rPr>
          <w:lang w:val="en-GB"/>
        </w:rPr>
        <w:t>unknowns</w:t>
      </w:r>
      <w:r w:rsidR="000534E4" w:rsidRPr="00D91ABA">
        <w:rPr>
          <w:lang w:val="en-GB"/>
        </w:rPr>
        <w:t>,</w:t>
      </w:r>
      <w:r w:rsidR="00676F05" w:rsidRPr="00D91ABA">
        <w:rPr>
          <w:lang w:val="en-GB"/>
        </w:rPr>
        <w:t xml:space="preserve"> </w:t>
      </w:r>
      <w:proofErr w:type="spellStart"/>
      <w:proofErr w:type="gramStart"/>
      <w:r w:rsidR="00676F05" w:rsidRPr="0077382F">
        <w:rPr>
          <w:i/>
          <w:lang w:val="en-GB"/>
        </w:rPr>
        <w:t>P</w:t>
      </w:r>
      <w:r w:rsidR="00676F05" w:rsidRPr="00D91ABA">
        <w:rPr>
          <w:vertAlign w:val="subscript"/>
          <w:lang w:val="en-GB"/>
        </w:rPr>
        <w:t>e</w:t>
      </w:r>
      <w:proofErr w:type="spellEnd"/>
      <w:r w:rsidR="009273B1" w:rsidRPr="00D91ABA">
        <w:rPr>
          <w:vertAlign w:val="subscript"/>
          <w:lang w:val="en-GB"/>
        </w:rPr>
        <w:t>(</w:t>
      </w:r>
      <w:proofErr w:type="gramEnd"/>
      <w:r w:rsidR="00676F05" w:rsidRPr="00D91ABA">
        <w:rPr>
          <w:vertAlign w:val="subscript"/>
          <w:lang w:val="en-GB"/>
        </w:rPr>
        <w:t>A→D</w:t>
      </w:r>
      <w:r w:rsidR="009273B1" w:rsidRPr="00D91ABA">
        <w:rPr>
          <w:vertAlign w:val="subscript"/>
          <w:lang w:val="en-GB"/>
        </w:rPr>
        <w:t>)</w:t>
      </w:r>
      <w:r w:rsidR="00676F05" w:rsidRPr="0077382F">
        <w:rPr>
          <w:lang w:val="en-GB"/>
        </w:rPr>
        <w:t xml:space="preserve"> </w:t>
      </w:r>
      <w:r w:rsidR="00676F05" w:rsidRPr="00D91ABA">
        <w:rPr>
          <w:lang w:val="en-GB"/>
        </w:rPr>
        <w:t xml:space="preserve">and </w:t>
      </w:r>
      <w:proofErr w:type="spellStart"/>
      <w:r w:rsidR="00676F05" w:rsidRPr="0077382F">
        <w:rPr>
          <w:i/>
          <w:lang w:val="en-GB"/>
        </w:rPr>
        <w:t>P</w:t>
      </w:r>
      <w:r w:rsidR="00676F05" w:rsidRPr="00D91ABA">
        <w:rPr>
          <w:vertAlign w:val="subscript"/>
          <w:lang w:val="en-GB"/>
        </w:rPr>
        <w:t>e</w:t>
      </w:r>
      <w:proofErr w:type="spellEnd"/>
      <w:r w:rsidR="009273B1" w:rsidRPr="00D91ABA">
        <w:rPr>
          <w:vertAlign w:val="subscript"/>
          <w:lang w:val="en-GB"/>
        </w:rPr>
        <w:t>(</w:t>
      </w:r>
      <w:r w:rsidR="00676F05" w:rsidRPr="00D91ABA">
        <w:rPr>
          <w:vertAlign w:val="subscript"/>
          <w:lang w:val="en-GB"/>
        </w:rPr>
        <w:t>D→A</w:t>
      </w:r>
      <w:r w:rsidR="009273B1" w:rsidRPr="00D91ABA">
        <w:rPr>
          <w:vertAlign w:val="subscript"/>
          <w:lang w:val="en-GB"/>
        </w:rPr>
        <w:t>)</w:t>
      </w:r>
      <w:r w:rsidR="000534E4" w:rsidRPr="00D91ABA">
        <w:rPr>
          <w:lang w:val="en-GB"/>
        </w:rPr>
        <w:t xml:space="preserve">, </w:t>
      </w:r>
      <w:r w:rsidR="00676F05" w:rsidRPr="00D91ABA">
        <w:rPr>
          <w:lang w:val="en-GB"/>
        </w:rPr>
        <w:t>the following method is used to solve th</w:t>
      </w:r>
      <w:r w:rsidR="000534E4" w:rsidRPr="00D91ABA">
        <w:rPr>
          <w:lang w:val="en-GB"/>
        </w:rPr>
        <w:t>e</w:t>
      </w:r>
      <w:r w:rsidR="00676F05" w:rsidRPr="00D91ABA">
        <w:rPr>
          <w:lang w:val="en-GB"/>
        </w:rPr>
        <w:t xml:space="preserve"> equation</w:t>
      </w:r>
      <w:r w:rsidR="000534E4" w:rsidRPr="00D91ABA">
        <w:rPr>
          <w:lang w:val="en-GB"/>
        </w:rPr>
        <w:t>: a</w:t>
      </w:r>
      <w:r w:rsidR="00676F05" w:rsidRPr="00D91ABA">
        <w:rPr>
          <w:lang w:val="en-GB"/>
        </w:rPr>
        <w:t>t least two assays are done</w:t>
      </w:r>
      <w:r w:rsidR="000534E4" w:rsidRPr="00D91ABA">
        <w:rPr>
          <w:lang w:val="en-GB"/>
        </w:rPr>
        <w:t xml:space="preserve">, </w:t>
      </w:r>
      <w:r w:rsidR="00676F05" w:rsidRPr="00D91ABA">
        <w:rPr>
          <w:lang w:val="en-GB"/>
        </w:rPr>
        <w:t xml:space="preserve">one </w:t>
      </w:r>
      <w:r w:rsidR="000534E4" w:rsidRPr="00D91ABA">
        <w:rPr>
          <w:lang w:val="en-GB"/>
        </w:rPr>
        <w:t>with</w:t>
      </w:r>
      <w:r w:rsidR="00676F05" w:rsidRPr="00D91ABA">
        <w:rPr>
          <w:lang w:val="en-GB"/>
        </w:rPr>
        <w:t xml:space="preserve"> gradient</w:t>
      </w:r>
      <w:r w:rsidR="00455492" w:rsidRPr="00D91ABA">
        <w:rPr>
          <w:lang w:val="en-GB"/>
        </w:rPr>
        <w:t>-</w:t>
      </w:r>
      <w:r w:rsidR="00676F05" w:rsidRPr="00D91ABA">
        <w:rPr>
          <w:lang w:val="en-GB"/>
        </w:rPr>
        <w:t xml:space="preserve">pH and the other </w:t>
      </w:r>
      <w:r w:rsidR="000534E4" w:rsidRPr="00D91ABA">
        <w:rPr>
          <w:lang w:val="en-GB"/>
        </w:rPr>
        <w:t>with</w:t>
      </w:r>
      <w:r w:rsidR="00676F05" w:rsidRPr="00D91ABA">
        <w:rPr>
          <w:lang w:val="en-GB"/>
        </w:rPr>
        <w:t xml:space="preserve"> </w:t>
      </w:r>
      <w:proofErr w:type="spellStart"/>
      <w:r w:rsidR="00676F05" w:rsidRPr="00D91ABA">
        <w:rPr>
          <w:lang w:val="en-GB"/>
        </w:rPr>
        <w:t>iso</w:t>
      </w:r>
      <w:proofErr w:type="spellEnd"/>
      <w:r w:rsidR="00455492" w:rsidRPr="00D91ABA">
        <w:rPr>
          <w:lang w:val="en-GB"/>
        </w:rPr>
        <w:t>-</w:t>
      </w:r>
      <w:r w:rsidR="00676F05" w:rsidRPr="00D91ABA">
        <w:rPr>
          <w:lang w:val="en-GB"/>
        </w:rPr>
        <w:t xml:space="preserve">pH, that is, </w:t>
      </w:r>
      <w:r w:rsidR="000534E4" w:rsidRPr="00D91ABA">
        <w:rPr>
          <w:lang w:val="en-GB"/>
        </w:rPr>
        <w:t xml:space="preserve">the same pH at both compartments. </w:t>
      </w:r>
      <w:r w:rsidR="00676F05" w:rsidRPr="00D91ABA">
        <w:rPr>
          <w:lang w:val="en-GB"/>
        </w:rPr>
        <w:t xml:space="preserve">For </w:t>
      </w:r>
      <w:proofErr w:type="spellStart"/>
      <w:r w:rsidR="00676F05" w:rsidRPr="00D91ABA">
        <w:rPr>
          <w:lang w:val="en-GB"/>
        </w:rPr>
        <w:t>iso</w:t>
      </w:r>
      <w:proofErr w:type="spellEnd"/>
      <w:r w:rsidR="00676F05" w:rsidRPr="00D91ABA">
        <w:rPr>
          <w:lang w:val="en-GB"/>
        </w:rPr>
        <w:t>-pH</w:t>
      </w:r>
      <w:r w:rsidR="00160E40" w:rsidRPr="00D91ABA">
        <w:rPr>
          <w:lang w:val="en-GB"/>
        </w:rPr>
        <w:t>,</w:t>
      </w:r>
      <w:r w:rsidR="00676F05" w:rsidRPr="00D91ABA">
        <w:rPr>
          <w:lang w:val="en-GB"/>
        </w:rPr>
        <w:t xml:space="preserve"> </w:t>
      </w:r>
      <w:proofErr w:type="spellStart"/>
      <w:proofErr w:type="gramStart"/>
      <w:r w:rsidR="00676F05" w:rsidRPr="0077382F">
        <w:rPr>
          <w:i/>
          <w:lang w:val="en-GB"/>
        </w:rPr>
        <w:t>P</w:t>
      </w:r>
      <w:r w:rsidR="00676F05" w:rsidRPr="00D91ABA">
        <w:rPr>
          <w:vertAlign w:val="subscript"/>
          <w:lang w:val="en-GB"/>
        </w:rPr>
        <w:t>e</w:t>
      </w:r>
      <w:proofErr w:type="spellEnd"/>
      <w:r w:rsidR="009273B1" w:rsidRPr="00D91ABA">
        <w:rPr>
          <w:vertAlign w:val="subscript"/>
          <w:lang w:val="en-GB"/>
        </w:rPr>
        <w:t>(</w:t>
      </w:r>
      <w:proofErr w:type="gramEnd"/>
      <w:r w:rsidR="00676F05" w:rsidRPr="00D91ABA">
        <w:rPr>
          <w:vertAlign w:val="subscript"/>
          <w:lang w:val="en-GB"/>
        </w:rPr>
        <w:t>A→D</w:t>
      </w:r>
      <w:r w:rsidR="000534E4" w:rsidRPr="00D91ABA">
        <w:rPr>
          <w:vertAlign w:val="subscript"/>
          <w:lang w:val="en-GB"/>
        </w:rPr>
        <w:t>)</w:t>
      </w:r>
      <w:r w:rsidR="000534E4" w:rsidRPr="00D91ABA">
        <w:rPr>
          <w:lang w:val="en-GB"/>
        </w:rPr>
        <w:t xml:space="preserve"> </w:t>
      </w:r>
      <w:r w:rsidR="00676F05" w:rsidRPr="00D91ABA">
        <w:rPr>
          <w:lang w:val="en-GB"/>
        </w:rPr>
        <w:t xml:space="preserve">= </w:t>
      </w:r>
      <w:proofErr w:type="spellStart"/>
      <w:r w:rsidR="00676F05" w:rsidRPr="0077382F">
        <w:rPr>
          <w:i/>
          <w:lang w:val="en-GB"/>
        </w:rPr>
        <w:t>P</w:t>
      </w:r>
      <w:r w:rsidR="00676F05" w:rsidRPr="00D91ABA">
        <w:rPr>
          <w:vertAlign w:val="subscript"/>
          <w:lang w:val="en-GB"/>
        </w:rPr>
        <w:t>e</w:t>
      </w:r>
      <w:proofErr w:type="spellEnd"/>
      <w:r w:rsidR="009273B1" w:rsidRPr="00D91ABA">
        <w:rPr>
          <w:vertAlign w:val="subscript"/>
          <w:lang w:val="en-GB"/>
        </w:rPr>
        <w:t>(</w:t>
      </w:r>
      <w:r w:rsidR="00676F05" w:rsidRPr="00D91ABA">
        <w:rPr>
          <w:vertAlign w:val="subscript"/>
          <w:lang w:val="en-GB"/>
        </w:rPr>
        <w:t>D→A</w:t>
      </w:r>
      <w:r w:rsidR="009273B1" w:rsidRPr="00D91ABA">
        <w:rPr>
          <w:vertAlign w:val="subscript"/>
          <w:lang w:val="en-GB"/>
        </w:rPr>
        <w:t>)</w:t>
      </w:r>
      <w:r w:rsidR="00676F05" w:rsidRPr="00D91ABA">
        <w:rPr>
          <w:lang w:val="en-GB"/>
        </w:rPr>
        <w:t xml:space="preserve">. </w:t>
      </w:r>
      <w:r w:rsidR="001116BF" w:rsidRPr="00D91ABA">
        <w:rPr>
          <w:lang w:val="en-GB"/>
        </w:rPr>
        <w:t xml:space="preserve">Therefore, </w:t>
      </w:r>
      <w:proofErr w:type="spellStart"/>
      <w:proofErr w:type="gramStart"/>
      <w:r w:rsidR="001116BF" w:rsidRPr="0077382F">
        <w:rPr>
          <w:i/>
          <w:lang w:val="en-GB"/>
        </w:rPr>
        <w:t>P</w:t>
      </w:r>
      <w:r w:rsidR="001116BF" w:rsidRPr="00D91ABA">
        <w:rPr>
          <w:vertAlign w:val="subscript"/>
          <w:lang w:val="en-GB"/>
        </w:rPr>
        <w:t>e</w:t>
      </w:r>
      <w:proofErr w:type="spellEnd"/>
      <w:r w:rsidR="001116BF" w:rsidRPr="00D91ABA">
        <w:rPr>
          <w:vertAlign w:val="subscript"/>
          <w:lang w:val="en-GB"/>
        </w:rPr>
        <w:t>(</w:t>
      </w:r>
      <w:proofErr w:type="gramEnd"/>
      <w:r w:rsidR="001116BF" w:rsidRPr="00D91ABA">
        <w:rPr>
          <w:vertAlign w:val="subscript"/>
          <w:lang w:val="en-GB"/>
        </w:rPr>
        <w:t>A→D)</w:t>
      </w:r>
      <w:r w:rsidR="001116BF" w:rsidRPr="00D91ABA">
        <w:rPr>
          <w:lang w:val="en-GB"/>
        </w:rPr>
        <w:t xml:space="preserve"> </w:t>
      </w:r>
      <w:r w:rsidR="00676F05" w:rsidRPr="00D91ABA">
        <w:rPr>
          <w:lang w:val="en-GB"/>
        </w:rPr>
        <w:t xml:space="preserve">can be solved directly </w:t>
      </w:r>
      <w:r w:rsidR="00160E40" w:rsidRPr="00D91ABA">
        <w:rPr>
          <w:lang w:val="en-GB"/>
        </w:rPr>
        <w:t>using</w:t>
      </w:r>
      <w:r w:rsidR="00676F05" w:rsidRPr="00D91ABA">
        <w:rPr>
          <w:lang w:val="en-GB"/>
        </w:rPr>
        <w:t xml:space="preserve"> </w:t>
      </w:r>
      <w:r w:rsidR="001116BF" w:rsidRPr="00D91ABA">
        <w:rPr>
          <w:lang w:val="en-GB"/>
        </w:rPr>
        <w:t xml:space="preserve">the </w:t>
      </w:r>
      <w:proofErr w:type="spellStart"/>
      <w:r w:rsidR="001116BF" w:rsidRPr="00D91ABA">
        <w:rPr>
          <w:lang w:val="en-GB"/>
        </w:rPr>
        <w:t>iso</w:t>
      </w:r>
      <w:proofErr w:type="spellEnd"/>
      <w:r w:rsidR="001116BF" w:rsidRPr="00D91ABA">
        <w:rPr>
          <w:lang w:val="en-GB"/>
        </w:rPr>
        <w:t>-pH equation:</w:t>
      </w:r>
    </w:p>
    <w:p w14:paraId="617FBCB1" w14:textId="4DA05CF9" w:rsidR="0077507C" w:rsidRPr="00D91ABA" w:rsidRDefault="00363028" w:rsidP="00D91ABA">
      <w:pPr>
        <w:pStyle w:val="ADMETtext"/>
        <w:tabs>
          <w:tab w:val="right" w:pos="9498"/>
        </w:tabs>
      </w:pPr>
      <m:oMath>
        <m:sSub>
          <m:sSubPr>
            <m:ctrlPr>
              <w:rPr>
                <w:rFonts w:ascii="Cambria Math" w:hAnsi="Cambria Math"/>
                <w:i/>
              </w:rPr>
            </m:ctrlPr>
          </m:sSubPr>
          <m:e>
            <m:r>
              <m:rPr>
                <m:nor/>
              </m:rPr>
              <w:rPr>
                <w:i/>
              </w:rPr>
              <m:t>P</m:t>
            </m:r>
          </m:e>
          <m:sub>
            <m:r>
              <m:rPr>
                <m:nor/>
              </m:rPr>
              <m:t>e</m:t>
            </m:r>
          </m:sub>
        </m:sSub>
        <m:r>
          <m:rPr>
            <m:nor/>
          </m:rPr>
          <m:t>= -</m:t>
        </m:r>
        <m:f>
          <m:fPr>
            <m:ctrlPr>
              <w:rPr>
                <w:rFonts w:ascii="Cambria Math" w:hAnsi="Cambria Math"/>
                <w:i/>
              </w:rPr>
            </m:ctrlPr>
          </m:fPr>
          <m:num>
            <m:r>
              <m:rPr>
                <m:nor/>
              </m:rPr>
              <m:t>2.303</m:t>
            </m:r>
            <m:sSub>
              <m:sSubPr>
                <m:ctrlPr>
                  <w:rPr>
                    <w:rFonts w:ascii="Cambria Math" w:hAnsi="Cambria Math"/>
                    <w:i/>
                  </w:rPr>
                </m:ctrlPr>
              </m:sSubPr>
              <m:e>
                <m:r>
                  <m:rPr>
                    <m:nor/>
                  </m:rPr>
                  <w:rPr>
                    <w:i/>
                  </w:rPr>
                  <m:t>V</m:t>
                </m:r>
              </m:e>
              <m:sub>
                <m:r>
                  <m:rPr>
                    <m:nor/>
                  </m:rPr>
                  <m:t>D</m:t>
                </m:r>
              </m:sub>
            </m:sSub>
          </m:num>
          <m:den>
            <m:r>
              <m:rPr>
                <m:nor/>
              </m:rPr>
              <w:rPr>
                <w:i/>
              </w:rPr>
              <m:t>A</m:t>
            </m:r>
            <m:r>
              <m:rPr>
                <m:nor/>
              </m:rPr>
              <m:t>·</m:t>
            </m:r>
            <m:d>
              <m:dPr>
                <m:ctrlPr>
                  <w:rPr>
                    <w:rFonts w:ascii="Cambria Math" w:hAnsi="Cambria Math"/>
                    <w:i/>
                  </w:rPr>
                </m:ctrlPr>
              </m:dPr>
              <m:e>
                <m:r>
                  <m:rPr>
                    <m:nor/>
                  </m:rPr>
                  <w:rPr>
                    <w:i/>
                  </w:rPr>
                  <m:t>t</m:t>
                </m:r>
                <m:r>
                  <m:rPr>
                    <m:nor/>
                  </m:rPr>
                  <m:t>-</m:t>
                </m:r>
                <m:sSub>
                  <m:sSubPr>
                    <m:ctrlPr>
                      <w:rPr>
                        <w:rFonts w:ascii="Cambria Math" w:hAnsi="Cambria Math"/>
                        <w:i/>
                      </w:rPr>
                    </m:ctrlPr>
                  </m:sSubPr>
                  <m:e>
                    <m:r>
                      <m:rPr>
                        <m:nor/>
                      </m:rPr>
                      <w:rPr>
                        <w:i/>
                      </w:rPr>
                      <m:t>t</m:t>
                    </m:r>
                  </m:e>
                  <m:sub>
                    <m:r>
                      <m:rPr>
                        <m:nor/>
                      </m:rPr>
                      <m:t>ss</m:t>
                    </m:r>
                  </m:sub>
                </m:sSub>
              </m:e>
            </m:d>
            <m:r>
              <m:rPr>
                <m:nor/>
              </m:rPr>
              <m:t>·</m:t>
            </m:r>
            <m:sSub>
              <m:sSubPr>
                <m:ctrlPr>
                  <w:rPr>
                    <w:rFonts w:ascii="Cambria Math" w:hAnsi="Cambria Math"/>
                    <w:i/>
                  </w:rPr>
                </m:ctrlPr>
              </m:sSubPr>
              <m:e>
                <m:r>
                  <m:rPr>
                    <m:nor/>
                  </m:rPr>
                  <w:rPr>
                    <w:i/>
                  </w:rPr>
                  <m:t>ε</m:t>
                </m:r>
              </m:e>
              <m:sub>
                <m:r>
                  <m:rPr>
                    <m:nor/>
                  </m:rPr>
                  <m:t>a</m:t>
                </m:r>
              </m:sub>
            </m:sSub>
          </m:den>
        </m:f>
        <m:r>
          <m:rPr>
            <m:nor/>
          </m:rPr>
          <m:t>·</m:t>
        </m:r>
        <m:d>
          <m:dPr>
            <m:ctrlPr>
              <w:rPr>
                <w:rFonts w:ascii="Cambria Math" w:hAnsi="Cambria Math"/>
                <w:i/>
              </w:rPr>
            </m:ctrlPr>
          </m:dPr>
          <m:e>
            <m:f>
              <m:fPr>
                <m:ctrlPr>
                  <w:rPr>
                    <w:rFonts w:ascii="Cambria Math" w:hAnsi="Cambria Math"/>
                    <w:i/>
                  </w:rPr>
                </m:ctrlPr>
              </m:fPr>
              <m:num>
                <m:r>
                  <m:rPr>
                    <m:nor/>
                  </m:rPr>
                  <m:t>1</m:t>
                </m:r>
              </m:num>
              <m:den>
                <m:r>
                  <m:rPr>
                    <m:nor/>
                  </m:rPr>
                  <m:t>1+</m:t>
                </m:r>
                <m:sSub>
                  <m:sSubPr>
                    <m:ctrlPr>
                      <w:rPr>
                        <w:rFonts w:ascii="Cambria Math" w:hAnsi="Cambria Math"/>
                        <w:i/>
                      </w:rPr>
                    </m:ctrlPr>
                  </m:sSubPr>
                  <m:e>
                    <m:r>
                      <m:rPr>
                        <m:nor/>
                      </m:rPr>
                      <w:rPr>
                        <w:i/>
                      </w:rPr>
                      <m:t>r</m:t>
                    </m:r>
                  </m:e>
                  <m:sub>
                    <m:r>
                      <m:rPr>
                        <m:nor/>
                      </m:rPr>
                      <m:t>V</m:t>
                    </m:r>
                  </m:sub>
                </m:sSub>
              </m:den>
            </m:f>
          </m:e>
        </m:d>
        <m:r>
          <m:rPr>
            <m:nor/>
          </m:rPr>
          <m:t>·</m:t>
        </m:r>
        <m:sSub>
          <m:sSubPr>
            <m:ctrlPr>
              <w:rPr>
                <w:rFonts w:ascii="Cambria Math" w:hAnsi="Cambria Math"/>
                <w:i/>
              </w:rPr>
            </m:ctrlPr>
          </m:sSubPr>
          <m:e>
            <m:r>
              <m:rPr>
                <m:nor/>
              </m:rPr>
              <m:t>log</m:t>
            </m:r>
          </m:e>
          <m:sub>
            <m:r>
              <m:rPr>
                <m:nor/>
              </m:rPr>
              <m:t>10</m:t>
            </m:r>
          </m:sub>
        </m:sSub>
        <m:d>
          <m:dPr>
            <m:begChr m:val="["/>
            <m:endChr m:val="]"/>
            <m:ctrlPr>
              <w:rPr>
                <w:rFonts w:ascii="Cambria Math" w:hAnsi="Cambria Math"/>
                <w:i/>
              </w:rPr>
            </m:ctrlPr>
          </m:dPr>
          <m:e>
            <m:r>
              <m:rPr>
                <m:nor/>
              </m:rPr>
              <m:t>-</m:t>
            </m:r>
            <m:sSub>
              <m:sSubPr>
                <m:ctrlPr>
                  <w:rPr>
                    <w:rFonts w:ascii="Cambria Math" w:hAnsi="Cambria Math"/>
                    <w:i/>
                  </w:rPr>
                </m:ctrlPr>
              </m:sSubPr>
              <m:e>
                <m:r>
                  <m:rPr>
                    <m:nor/>
                  </m:rPr>
                  <w:rPr>
                    <w:i/>
                  </w:rPr>
                  <m:t>r</m:t>
                </m:r>
              </m:e>
              <m:sub>
                <m:r>
                  <m:rPr>
                    <m:nor/>
                  </m:rPr>
                  <m:t>V</m:t>
                </m:r>
              </m:sub>
            </m:sSub>
            <m:r>
              <m:rPr>
                <m:nor/>
              </m:rPr>
              <m:t>+</m:t>
            </m:r>
            <m:d>
              <m:dPr>
                <m:ctrlPr>
                  <w:rPr>
                    <w:rFonts w:ascii="Cambria Math" w:hAnsi="Cambria Math"/>
                    <w:i/>
                  </w:rPr>
                </m:ctrlPr>
              </m:dPr>
              <m:e>
                <m:f>
                  <m:fPr>
                    <m:ctrlPr>
                      <w:rPr>
                        <w:rFonts w:ascii="Cambria Math" w:hAnsi="Cambria Math"/>
                        <w:i/>
                      </w:rPr>
                    </m:ctrlPr>
                  </m:fPr>
                  <m:num>
                    <m:r>
                      <m:rPr>
                        <m:nor/>
                      </m:rPr>
                      <m:t xml:space="preserve">1+ </m:t>
                    </m:r>
                    <m:sSub>
                      <m:sSubPr>
                        <m:ctrlPr>
                          <w:rPr>
                            <w:rFonts w:ascii="Cambria Math" w:hAnsi="Cambria Math"/>
                            <w:i/>
                          </w:rPr>
                        </m:ctrlPr>
                      </m:sSubPr>
                      <m:e>
                        <m:r>
                          <m:rPr>
                            <m:nor/>
                          </m:rPr>
                          <w:rPr>
                            <w:i/>
                          </w:rPr>
                          <m:t>r</m:t>
                        </m:r>
                      </m:e>
                      <m:sub>
                        <m:r>
                          <m:rPr>
                            <m:nor/>
                          </m:rPr>
                          <m:t>V</m:t>
                        </m:r>
                      </m:sub>
                    </m:sSub>
                  </m:num>
                  <m:den>
                    <m:r>
                      <m:rPr>
                        <m:nor/>
                      </m:rPr>
                      <m:t>1-</m:t>
                    </m:r>
                    <m:sSub>
                      <m:sSubPr>
                        <m:ctrlPr>
                          <w:rPr>
                            <w:rFonts w:ascii="Cambria Math" w:hAnsi="Cambria Math"/>
                            <w:i/>
                          </w:rPr>
                        </m:ctrlPr>
                      </m:sSubPr>
                      <m:e>
                        <m:r>
                          <m:rPr>
                            <m:nor/>
                          </m:rPr>
                          <w:rPr>
                            <w:i/>
                          </w:rPr>
                          <m:t>R</m:t>
                        </m:r>
                      </m:e>
                      <m:sub>
                        <m:r>
                          <m:rPr>
                            <m:nor/>
                          </m:rPr>
                          <m:t>M</m:t>
                        </m:r>
                      </m:sub>
                    </m:sSub>
                  </m:den>
                </m:f>
              </m:e>
            </m:d>
            <m:r>
              <m:rPr>
                <m:nor/>
              </m:rPr>
              <m:t>·</m:t>
            </m:r>
            <m:f>
              <m:fPr>
                <m:ctrlPr>
                  <w:rPr>
                    <w:rFonts w:ascii="Cambria Math" w:hAnsi="Cambria Math"/>
                    <w:i/>
                  </w:rPr>
                </m:ctrlPr>
              </m:fPr>
              <m:num>
                <m:sSub>
                  <m:sSubPr>
                    <m:ctrlPr>
                      <w:rPr>
                        <w:rFonts w:ascii="Cambria Math" w:hAnsi="Cambria Math"/>
                        <w:i/>
                      </w:rPr>
                    </m:ctrlPr>
                  </m:sSubPr>
                  <m:e>
                    <m:r>
                      <m:rPr>
                        <m:nor/>
                      </m:rPr>
                      <w:rPr>
                        <w:i/>
                      </w:rPr>
                      <m:t>C</m:t>
                    </m:r>
                  </m:e>
                  <m:sub>
                    <m:r>
                      <m:rPr>
                        <m:nor/>
                      </m:rPr>
                      <m:t>D</m:t>
                    </m:r>
                  </m:sub>
                </m:sSub>
                <m:d>
                  <m:dPr>
                    <m:ctrlPr>
                      <w:rPr>
                        <w:rFonts w:ascii="Cambria Math" w:hAnsi="Cambria Math"/>
                        <w:i/>
                      </w:rPr>
                    </m:ctrlPr>
                  </m:dPr>
                  <m:e>
                    <m:r>
                      <m:rPr>
                        <m:nor/>
                      </m:rPr>
                      <m:t>t</m:t>
                    </m:r>
                  </m:e>
                </m:d>
              </m:num>
              <m:den>
                <m:sSub>
                  <m:sSubPr>
                    <m:ctrlPr>
                      <w:rPr>
                        <w:rFonts w:ascii="Cambria Math" w:hAnsi="Cambria Math"/>
                        <w:i/>
                      </w:rPr>
                    </m:ctrlPr>
                  </m:sSubPr>
                  <m:e>
                    <m:r>
                      <m:rPr>
                        <m:nor/>
                      </m:rPr>
                      <w:rPr>
                        <w:i/>
                      </w:rPr>
                      <m:t>C</m:t>
                    </m:r>
                  </m:e>
                  <m:sub>
                    <m:r>
                      <m:rPr>
                        <m:nor/>
                      </m:rPr>
                      <m:t>D</m:t>
                    </m:r>
                  </m:sub>
                </m:sSub>
                <m:d>
                  <m:dPr>
                    <m:ctrlPr>
                      <w:rPr>
                        <w:rFonts w:ascii="Cambria Math" w:hAnsi="Cambria Math"/>
                        <w:i/>
                      </w:rPr>
                    </m:ctrlPr>
                  </m:dPr>
                  <m:e>
                    <m:r>
                      <m:rPr>
                        <m:nor/>
                      </m:rPr>
                      <m:t>0</m:t>
                    </m:r>
                  </m:e>
                </m:d>
              </m:den>
            </m:f>
          </m:e>
        </m:d>
      </m:oMath>
      <w:r w:rsidR="0077507C" w:rsidRPr="00D91ABA">
        <w:t xml:space="preserve">                                          </w:t>
      </w:r>
      <w:r w:rsidR="00C519CF" w:rsidRPr="00D91ABA">
        <w:t xml:space="preserve">                                                     </w:t>
      </w:r>
      <w:r w:rsidR="0077507C" w:rsidRPr="00D91ABA">
        <w:t xml:space="preserve"> </w:t>
      </w:r>
      <w:r w:rsidR="00D91ABA">
        <w:tab/>
      </w:r>
      <w:r w:rsidR="0077507C" w:rsidRPr="00D91ABA">
        <w:t xml:space="preserve"> (4)</w:t>
      </w:r>
    </w:p>
    <w:p w14:paraId="7C76B13B" w14:textId="68E8F8B6" w:rsidR="001116BF" w:rsidRPr="00D91ABA" w:rsidRDefault="00D91ABA" w:rsidP="00D91ABA">
      <w:pPr>
        <w:pStyle w:val="ADMETtext"/>
        <w:ind w:firstLine="0"/>
        <w:rPr>
          <w:color w:val="auto"/>
        </w:rPr>
      </w:pPr>
      <w:proofErr w:type="gramStart"/>
      <w:r>
        <w:rPr>
          <w:color w:val="auto"/>
        </w:rPr>
        <w:lastRenderedPageBreak/>
        <w:t>w</w:t>
      </w:r>
      <w:r w:rsidR="001116BF" w:rsidRPr="00D91ABA">
        <w:rPr>
          <w:color w:val="auto"/>
        </w:rPr>
        <w:t>here</w:t>
      </w:r>
      <w:proofErr w:type="gramEnd"/>
      <w:r w:rsidR="001116BF" w:rsidRPr="00D91ABA">
        <w:rPr>
          <w:color w:val="auto"/>
        </w:rPr>
        <w:t xml:space="preserve"> </w:t>
      </w:r>
      <w:proofErr w:type="spellStart"/>
      <w:r w:rsidR="001116BF" w:rsidRPr="00251AD3">
        <w:rPr>
          <w:i/>
          <w:color w:val="auto"/>
        </w:rPr>
        <w:t>r</w:t>
      </w:r>
      <w:r w:rsidR="001116BF" w:rsidRPr="00D91ABA">
        <w:rPr>
          <w:color w:val="auto"/>
          <w:vertAlign w:val="subscript"/>
        </w:rPr>
        <w:t>v</w:t>
      </w:r>
      <w:proofErr w:type="spellEnd"/>
      <w:r w:rsidR="001116BF" w:rsidRPr="00D91ABA">
        <w:rPr>
          <w:color w:val="auto"/>
          <w:vertAlign w:val="subscript"/>
        </w:rPr>
        <w:t xml:space="preserve"> </w:t>
      </w:r>
      <w:r w:rsidR="001116BF" w:rsidRPr="00D91ABA">
        <w:rPr>
          <w:color w:val="auto"/>
        </w:rPr>
        <w:t>is the aqueous compartment volume ratio, defined as:</w:t>
      </w:r>
    </w:p>
    <w:p w14:paraId="707A29F4" w14:textId="5B077BBA" w:rsidR="00160E40" w:rsidRPr="00D91ABA" w:rsidRDefault="00363028" w:rsidP="00D91ABA">
      <w:pPr>
        <w:pStyle w:val="ADMETtext"/>
        <w:tabs>
          <w:tab w:val="right" w:pos="9498"/>
        </w:tabs>
        <w:rPr>
          <w:iCs/>
          <w:lang w:val="en-GB"/>
        </w:rPr>
      </w:pPr>
      <m:oMath>
        <m:sSub>
          <m:sSubPr>
            <m:ctrlPr>
              <w:rPr>
                <w:rFonts w:ascii="Cambria Math" w:hAnsi="Cambria Math" w:cs="Arial"/>
                <w:i/>
                <w:szCs w:val="21"/>
              </w:rPr>
            </m:ctrlPr>
          </m:sSubPr>
          <m:e>
            <m:r>
              <m:rPr>
                <m:nor/>
              </m:rPr>
              <w:rPr>
                <w:rFonts w:cs="Arial"/>
                <w:i/>
                <w:szCs w:val="21"/>
              </w:rPr>
              <m:t>r</m:t>
            </m:r>
          </m:e>
          <m:sub>
            <m:r>
              <m:rPr>
                <m:nor/>
              </m:rPr>
              <w:rPr>
                <w:rFonts w:cs="Arial"/>
                <w:szCs w:val="21"/>
              </w:rPr>
              <m:t>V</m:t>
            </m:r>
          </m:sub>
        </m:sSub>
        <m:r>
          <m:rPr>
            <m:nor/>
          </m:rPr>
          <w:rPr>
            <w:rFonts w:cs="Arial"/>
            <w:szCs w:val="21"/>
          </w:rPr>
          <m:t xml:space="preserve"> = </m:t>
        </m:r>
        <m:f>
          <m:fPr>
            <m:ctrlPr>
              <w:rPr>
                <w:rFonts w:ascii="Cambria Math" w:hAnsi="Cambria Math" w:cs="Arial"/>
                <w:i/>
                <w:szCs w:val="21"/>
              </w:rPr>
            </m:ctrlPr>
          </m:fPr>
          <m:num>
            <m:sSub>
              <m:sSubPr>
                <m:ctrlPr>
                  <w:rPr>
                    <w:rFonts w:ascii="Cambria Math" w:hAnsi="Cambria Math" w:cs="Arial"/>
                    <w:szCs w:val="21"/>
                  </w:rPr>
                </m:ctrlPr>
              </m:sSubPr>
              <m:e>
                <m:r>
                  <m:rPr>
                    <m:nor/>
                  </m:rPr>
                  <w:rPr>
                    <w:rFonts w:cs="Arial"/>
                    <w:i/>
                    <w:szCs w:val="21"/>
                  </w:rPr>
                  <m:t>V</m:t>
                </m:r>
              </m:e>
              <m:sub>
                <m:r>
                  <m:rPr>
                    <m:nor/>
                  </m:rPr>
                  <w:rPr>
                    <w:rFonts w:cs="Arial"/>
                    <w:szCs w:val="21"/>
                  </w:rPr>
                  <m:t>D</m:t>
                </m:r>
              </m:sub>
            </m:sSub>
          </m:num>
          <m:den>
            <m:sSub>
              <m:sSubPr>
                <m:ctrlPr>
                  <w:rPr>
                    <w:rFonts w:ascii="Cambria Math" w:hAnsi="Cambria Math" w:cs="Arial"/>
                    <w:i/>
                    <w:szCs w:val="21"/>
                  </w:rPr>
                </m:ctrlPr>
              </m:sSubPr>
              <m:e>
                <m:r>
                  <m:rPr>
                    <m:nor/>
                  </m:rPr>
                  <w:rPr>
                    <w:rFonts w:cs="Arial"/>
                    <w:i/>
                    <w:szCs w:val="21"/>
                  </w:rPr>
                  <m:t>V</m:t>
                </m:r>
              </m:e>
              <m:sub>
                <m:r>
                  <m:rPr>
                    <m:nor/>
                  </m:rPr>
                  <w:rPr>
                    <w:rFonts w:cs="Arial"/>
                    <w:szCs w:val="21"/>
                  </w:rPr>
                  <m:t>A</m:t>
                </m:r>
              </m:sub>
            </m:sSub>
          </m:den>
        </m:f>
      </m:oMath>
      <w:r w:rsidR="00160E40" w:rsidRPr="00D91ABA">
        <w:t xml:space="preserve">                                    </w:t>
      </w:r>
      <w:r w:rsidR="00C519CF" w:rsidRPr="00D91ABA">
        <w:t xml:space="preserve">                                                                                             </w:t>
      </w:r>
      <w:r w:rsidR="00160E40" w:rsidRPr="00D91ABA">
        <w:t xml:space="preserve">                             </w:t>
      </w:r>
      <w:r w:rsidR="00D91ABA">
        <w:tab/>
      </w:r>
      <w:r w:rsidR="00160E40" w:rsidRPr="00D91ABA">
        <w:t xml:space="preserve">    (5)</w:t>
      </w:r>
    </w:p>
    <w:p w14:paraId="19A869DB" w14:textId="6DE8118A" w:rsidR="00676F05" w:rsidRPr="00D91ABA" w:rsidRDefault="00676F05" w:rsidP="00D91ABA">
      <w:pPr>
        <w:pStyle w:val="ADMETtext"/>
        <w:rPr>
          <w:lang w:val="en-GB"/>
        </w:rPr>
      </w:pPr>
      <w:r w:rsidRPr="00D91ABA">
        <w:rPr>
          <w:lang w:val="en-GB"/>
        </w:rPr>
        <w:t>Then, Eq. (</w:t>
      </w:r>
      <w:r w:rsidR="00160E40" w:rsidRPr="00D91ABA">
        <w:rPr>
          <w:lang w:val="en-GB"/>
        </w:rPr>
        <w:t>1</w:t>
      </w:r>
      <w:r w:rsidRPr="00D91ABA">
        <w:rPr>
          <w:lang w:val="en-GB"/>
        </w:rPr>
        <w:t>) is</w:t>
      </w:r>
      <w:r w:rsidR="00160E40" w:rsidRPr="00D91ABA">
        <w:rPr>
          <w:lang w:val="en-GB"/>
        </w:rPr>
        <w:t xml:space="preserve"> iteratively</w:t>
      </w:r>
      <w:r w:rsidRPr="00D91ABA">
        <w:rPr>
          <w:lang w:val="en-GB"/>
        </w:rPr>
        <w:t xml:space="preserve"> solved for </w:t>
      </w:r>
      <w:proofErr w:type="spellStart"/>
      <w:proofErr w:type="gramStart"/>
      <w:r w:rsidRPr="00251AD3">
        <w:rPr>
          <w:i/>
          <w:lang w:val="en-GB"/>
        </w:rPr>
        <w:t>P</w:t>
      </w:r>
      <w:r w:rsidRPr="00D91ABA">
        <w:rPr>
          <w:vertAlign w:val="subscript"/>
          <w:lang w:val="en-GB"/>
        </w:rPr>
        <w:t>e</w:t>
      </w:r>
      <w:proofErr w:type="spellEnd"/>
      <w:r w:rsidR="009273B1" w:rsidRPr="00D91ABA">
        <w:rPr>
          <w:vertAlign w:val="subscript"/>
          <w:lang w:val="en-GB"/>
        </w:rPr>
        <w:t>(</w:t>
      </w:r>
      <w:proofErr w:type="gramEnd"/>
      <w:r w:rsidRPr="00D91ABA">
        <w:rPr>
          <w:vertAlign w:val="subscript"/>
          <w:lang w:val="en-GB"/>
        </w:rPr>
        <w:t>D→A</w:t>
      </w:r>
      <w:r w:rsidR="009273B1" w:rsidRPr="00D91ABA">
        <w:rPr>
          <w:vertAlign w:val="subscript"/>
          <w:lang w:val="en-GB"/>
        </w:rPr>
        <w:t>)</w:t>
      </w:r>
      <w:r w:rsidRPr="00D91ABA">
        <w:rPr>
          <w:lang w:val="en-GB"/>
        </w:rPr>
        <w:t xml:space="preserve">. Initially, </w:t>
      </w:r>
      <w:proofErr w:type="spellStart"/>
      <w:r w:rsidRPr="00251AD3">
        <w:rPr>
          <w:i/>
          <w:lang w:val="en-GB"/>
        </w:rPr>
        <w:t>r</w:t>
      </w:r>
      <w:r w:rsidRPr="00D91ABA">
        <w:rPr>
          <w:vertAlign w:val="subscript"/>
          <w:lang w:val="en-GB"/>
        </w:rPr>
        <w:t>a</w:t>
      </w:r>
      <w:proofErr w:type="spellEnd"/>
      <w:r w:rsidRPr="00D91ABA">
        <w:rPr>
          <w:lang w:val="en-GB"/>
        </w:rPr>
        <w:t xml:space="preserve"> is assumed to be </w:t>
      </w:r>
      <w:proofErr w:type="spellStart"/>
      <w:r w:rsidRPr="00251AD3">
        <w:rPr>
          <w:i/>
          <w:lang w:val="en-GB"/>
        </w:rPr>
        <w:t>r</w:t>
      </w:r>
      <w:r w:rsidRPr="00D91ABA">
        <w:rPr>
          <w:vertAlign w:val="subscript"/>
          <w:lang w:val="en-GB"/>
        </w:rPr>
        <w:t>v</w:t>
      </w:r>
      <w:proofErr w:type="spellEnd"/>
      <w:r w:rsidRPr="00D91ABA">
        <w:rPr>
          <w:lang w:val="en-GB"/>
        </w:rPr>
        <w:t xml:space="preserve">, but with each iteration, the </w:t>
      </w:r>
      <w:proofErr w:type="spellStart"/>
      <w:r w:rsidRPr="00251AD3">
        <w:rPr>
          <w:i/>
          <w:lang w:val="en-GB"/>
        </w:rPr>
        <w:t>r</w:t>
      </w:r>
      <w:r w:rsidRPr="00D91ABA">
        <w:rPr>
          <w:vertAlign w:val="subscript"/>
          <w:lang w:val="en-GB"/>
        </w:rPr>
        <w:t>a</w:t>
      </w:r>
      <w:proofErr w:type="spellEnd"/>
      <w:r w:rsidRPr="00D91ABA">
        <w:rPr>
          <w:lang w:val="en-GB"/>
        </w:rPr>
        <w:t xml:space="preserve"> estimation is improved by using the calculated </w:t>
      </w:r>
      <w:proofErr w:type="spellStart"/>
      <w:proofErr w:type="gramStart"/>
      <w:r w:rsidRPr="00251AD3">
        <w:rPr>
          <w:i/>
          <w:lang w:val="en-GB"/>
        </w:rPr>
        <w:t>P</w:t>
      </w:r>
      <w:r w:rsidRPr="00D91ABA">
        <w:rPr>
          <w:vertAlign w:val="subscript"/>
          <w:lang w:val="en-GB"/>
        </w:rPr>
        <w:t>e</w:t>
      </w:r>
      <w:proofErr w:type="spellEnd"/>
      <w:r w:rsidR="009273B1" w:rsidRPr="00D91ABA">
        <w:rPr>
          <w:vertAlign w:val="subscript"/>
          <w:lang w:val="en-GB"/>
        </w:rPr>
        <w:t>(</w:t>
      </w:r>
      <w:proofErr w:type="gramEnd"/>
      <w:r w:rsidRPr="00D91ABA">
        <w:rPr>
          <w:vertAlign w:val="subscript"/>
          <w:lang w:val="en-GB"/>
        </w:rPr>
        <w:t>D→A</w:t>
      </w:r>
      <w:r w:rsidR="009273B1" w:rsidRPr="00D91ABA">
        <w:rPr>
          <w:vertAlign w:val="subscript"/>
          <w:lang w:val="en-GB"/>
        </w:rPr>
        <w:t>)</w:t>
      </w:r>
      <w:r w:rsidRPr="00D91ABA">
        <w:rPr>
          <w:lang w:val="en-GB"/>
        </w:rPr>
        <w:t>. The process continues until self-consistency is reached within the precision required</w:t>
      </w:r>
      <w:r w:rsidR="004A5E38" w:rsidRPr="00D91ABA">
        <w:rPr>
          <w:lang w:val="en-GB"/>
        </w:rPr>
        <w:t xml:space="preserve"> (0.00</w:t>
      </w:r>
      <w:r w:rsidR="00557C9F" w:rsidRPr="00D91ABA">
        <w:rPr>
          <w:lang w:val="en-GB"/>
        </w:rPr>
        <w:t xml:space="preserve">1). </w:t>
      </w:r>
      <w:r w:rsidR="00E70BDD" w:rsidRPr="00D91ABA">
        <w:rPr>
          <w:lang w:val="en-GB"/>
        </w:rPr>
        <w:t xml:space="preserve">The Solver </w:t>
      </w:r>
      <w:r w:rsidR="00ED1302" w:rsidRPr="00D91ABA">
        <w:rPr>
          <w:lang w:val="en-GB"/>
        </w:rPr>
        <w:t>utility</w:t>
      </w:r>
      <w:r w:rsidR="00E70BDD" w:rsidRPr="00D91ABA">
        <w:rPr>
          <w:lang w:val="en-GB"/>
        </w:rPr>
        <w:t xml:space="preserve"> from Microsoft Excel was used for the iterative process. </w:t>
      </w:r>
      <w:r w:rsidR="00557C9F" w:rsidRPr="00D91ABA">
        <w:rPr>
          <w:lang w:val="en-GB"/>
        </w:rPr>
        <w:t xml:space="preserve"> </w:t>
      </w:r>
    </w:p>
    <w:p w14:paraId="6CF1C5E8" w14:textId="5762B6B6" w:rsidR="00365B7E" w:rsidRPr="00D91ABA" w:rsidRDefault="00676F05" w:rsidP="00365B7E">
      <w:pPr>
        <w:pStyle w:val="PaperH1"/>
        <w:rPr>
          <w:color w:val="auto"/>
          <w:sz w:val="22"/>
          <w:szCs w:val="22"/>
          <w:lang w:val="en-GB"/>
        </w:rPr>
      </w:pPr>
      <w:r w:rsidRPr="00D91ABA">
        <w:rPr>
          <w:color w:val="auto"/>
          <w:sz w:val="22"/>
          <w:szCs w:val="22"/>
          <w:lang w:val="en-GB"/>
        </w:rPr>
        <w:t xml:space="preserve">Results and </w:t>
      </w:r>
      <w:r w:rsidR="00D91ABA">
        <w:rPr>
          <w:color w:val="auto"/>
          <w:sz w:val="22"/>
          <w:szCs w:val="22"/>
          <w:lang w:val="en-GB"/>
        </w:rPr>
        <w:t>d</w:t>
      </w:r>
      <w:r w:rsidRPr="00D91ABA">
        <w:rPr>
          <w:color w:val="auto"/>
          <w:sz w:val="22"/>
          <w:szCs w:val="22"/>
          <w:lang w:val="en-GB"/>
        </w:rPr>
        <w:t>iscussion</w:t>
      </w:r>
    </w:p>
    <w:p w14:paraId="12423CD6" w14:textId="65A48CC6" w:rsidR="005874CE" w:rsidRPr="00D91ABA" w:rsidRDefault="00174C78" w:rsidP="00D91ABA">
      <w:pPr>
        <w:pStyle w:val="ADMETsubheading"/>
        <w:rPr>
          <w:lang w:val="en-GB"/>
        </w:rPr>
      </w:pPr>
      <w:r w:rsidRPr="00D91ABA">
        <w:rPr>
          <w:lang w:val="en-GB"/>
        </w:rPr>
        <w:t xml:space="preserve">Optimization of </w:t>
      </w:r>
      <w:r w:rsidR="000F4754" w:rsidRPr="00D91ABA">
        <w:rPr>
          <w:lang w:val="en-GB"/>
        </w:rPr>
        <w:t>skin-PAMPA</w:t>
      </w:r>
      <w:r w:rsidRPr="00D91ABA">
        <w:rPr>
          <w:lang w:val="en-GB"/>
        </w:rPr>
        <w:t xml:space="preserve"> assay conditions: </w:t>
      </w:r>
      <w:r w:rsidR="00D91ABA">
        <w:rPr>
          <w:lang w:val="en-GB"/>
        </w:rPr>
        <w:t>i</w:t>
      </w:r>
      <w:r w:rsidRPr="00D91ABA">
        <w:rPr>
          <w:lang w:val="en-GB"/>
        </w:rPr>
        <w:t xml:space="preserve">ncubation time and </w:t>
      </w:r>
      <w:r w:rsidR="00D91ABA">
        <w:rPr>
          <w:lang w:val="en-GB"/>
        </w:rPr>
        <w:t>s</w:t>
      </w:r>
      <w:r w:rsidRPr="00D91ABA">
        <w:rPr>
          <w:lang w:val="en-GB"/>
        </w:rPr>
        <w:t>tirring</w:t>
      </w:r>
    </w:p>
    <w:p w14:paraId="222D75DF" w14:textId="79200DC1" w:rsidR="006A739A" w:rsidRDefault="00174C78" w:rsidP="00D91ABA">
      <w:pPr>
        <w:pStyle w:val="ADMETtext"/>
        <w:rPr>
          <w:lang w:val="en-GB"/>
        </w:rPr>
      </w:pPr>
      <w:r w:rsidRPr="00D91ABA">
        <w:rPr>
          <w:lang w:val="en-GB"/>
        </w:rPr>
        <w:t xml:space="preserve">To evaluate the different parameters that affect </w:t>
      </w:r>
      <w:r w:rsidR="000F4754" w:rsidRPr="00D91ABA">
        <w:rPr>
          <w:lang w:val="en-GB"/>
        </w:rPr>
        <w:t>skin-PAMPA</w:t>
      </w:r>
      <w:r w:rsidRPr="00D91ABA">
        <w:rPr>
          <w:lang w:val="en-GB"/>
        </w:rPr>
        <w:t xml:space="preserve"> permeability and to establish general assay conditions for </w:t>
      </w:r>
      <w:r w:rsidR="000F4754" w:rsidRPr="00D91ABA">
        <w:rPr>
          <w:lang w:val="en-GB"/>
        </w:rPr>
        <w:t>skin-PAMPA</w:t>
      </w:r>
      <w:r w:rsidRPr="00D91ABA">
        <w:rPr>
          <w:lang w:val="en-GB"/>
        </w:rPr>
        <w:t xml:space="preserve"> determinations in solution, the permeability of 9 drugs with different </w:t>
      </w:r>
      <w:r w:rsidR="00D524A4" w:rsidRPr="00D91ABA">
        <w:rPr>
          <w:lang w:val="en-GB"/>
        </w:rPr>
        <w:t>acid-base properties</w:t>
      </w:r>
      <w:r w:rsidR="00A43230" w:rsidRPr="00D91ABA">
        <w:rPr>
          <w:lang w:val="en-GB"/>
        </w:rPr>
        <w:t>,</w:t>
      </w:r>
      <w:r w:rsidR="004C22FD" w:rsidRPr="00D91ABA">
        <w:rPr>
          <w:lang w:val="en-GB"/>
        </w:rPr>
        <w:t xml:space="preserve"> </w:t>
      </w:r>
      <w:r w:rsidRPr="00D91ABA">
        <w:rPr>
          <w:lang w:val="en-GB"/>
        </w:rPr>
        <w:t>lipophilicity</w:t>
      </w:r>
      <w:r w:rsidR="00B37B9D" w:rsidRPr="00D91ABA">
        <w:rPr>
          <w:lang w:val="en-GB"/>
        </w:rPr>
        <w:t>,</w:t>
      </w:r>
      <w:r w:rsidRPr="00D91ABA">
        <w:rPr>
          <w:lang w:val="en-GB"/>
        </w:rPr>
        <w:t xml:space="preserve"> and </w:t>
      </w:r>
      <w:r w:rsidRPr="00D91ABA">
        <w:rPr>
          <w:i/>
          <w:iCs/>
          <w:lang w:val="en-GB"/>
        </w:rPr>
        <w:t>in vitro</w:t>
      </w:r>
      <w:r w:rsidRPr="00D91ABA">
        <w:rPr>
          <w:lang w:val="en-GB"/>
        </w:rPr>
        <w:t xml:space="preserve"> Franz Cell human skin permeability values (</w:t>
      </w:r>
      <w:proofErr w:type="spellStart"/>
      <w:proofErr w:type="gramStart"/>
      <w:r w:rsidRPr="00EC429B">
        <w:rPr>
          <w:i/>
          <w:lang w:val="en-GB"/>
        </w:rPr>
        <w:t>K</w:t>
      </w:r>
      <w:r w:rsidRPr="00D91ABA">
        <w:rPr>
          <w:vertAlign w:val="subscript"/>
          <w:lang w:val="en-GB"/>
        </w:rPr>
        <w:t>p</w:t>
      </w:r>
      <w:proofErr w:type="spellEnd"/>
      <w:proofErr w:type="gramEnd"/>
      <w:r w:rsidRPr="00D91ABA">
        <w:rPr>
          <w:lang w:val="en-GB"/>
        </w:rPr>
        <w:t xml:space="preserve">, units in cm/s) </w:t>
      </w:r>
      <w:r w:rsidR="004C22FD" w:rsidRPr="00D91ABA">
        <w:rPr>
          <w:lang w:val="en-GB"/>
        </w:rPr>
        <w:t>w</w:t>
      </w:r>
      <w:r w:rsidRPr="00D91ABA">
        <w:rPr>
          <w:lang w:val="en-GB"/>
        </w:rPr>
        <w:t>as investigated.</w:t>
      </w:r>
      <w:r w:rsidR="00D524A4" w:rsidRPr="00D91ABA">
        <w:rPr>
          <w:lang w:val="en-GB"/>
        </w:rPr>
        <w:t xml:space="preserve"> </w:t>
      </w:r>
      <w:r w:rsidR="00AD7E94" w:rsidRPr="00D91ABA">
        <w:rPr>
          <w:lang w:val="en-GB"/>
        </w:rPr>
        <w:t>To assure the neutral form, a</w:t>
      </w:r>
      <w:r w:rsidR="00D524A4" w:rsidRPr="00D91ABA">
        <w:rPr>
          <w:lang w:val="en-GB"/>
        </w:rPr>
        <w:t>cidic compounds (</w:t>
      </w:r>
      <w:proofErr w:type="spellStart"/>
      <w:r w:rsidR="00D524A4" w:rsidRPr="00D91ABA">
        <w:t>flurbiprofen</w:t>
      </w:r>
      <w:proofErr w:type="spellEnd"/>
      <w:r w:rsidR="00D524A4" w:rsidRPr="00D91ABA">
        <w:rPr>
          <w:lang w:val="en-GB"/>
        </w:rPr>
        <w:t>, ibuprofen, naproxen and 5-fluorouracil) were dissolved in PRISMA HT</w:t>
      </w:r>
      <w:r w:rsidR="00D524A4" w:rsidRPr="00D91ABA">
        <w:rPr>
          <w:vertAlign w:val="superscript"/>
          <w:lang w:val="en-GB"/>
        </w:rPr>
        <w:t>TM</w:t>
      </w:r>
      <w:r w:rsidR="00D524A4" w:rsidRPr="00D91ABA">
        <w:rPr>
          <w:lang w:val="en-GB"/>
        </w:rPr>
        <w:t xml:space="preserve"> buffer solution at pH 3.0. </w:t>
      </w:r>
      <w:proofErr w:type="spellStart"/>
      <w:r w:rsidR="00D524A4" w:rsidRPr="00D91ABA">
        <w:rPr>
          <w:lang w:val="en-GB"/>
        </w:rPr>
        <w:t>Aminopyrine</w:t>
      </w:r>
      <w:proofErr w:type="spellEnd"/>
      <w:r w:rsidR="00D524A4" w:rsidRPr="00D91ABA">
        <w:rPr>
          <w:lang w:val="en-GB"/>
        </w:rPr>
        <w:t xml:space="preserve">, </w:t>
      </w:r>
      <w:r w:rsidR="00EC429B">
        <w:rPr>
          <w:lang w:val="en-GB"/>
        </w:rPr>
        <w:t xml:space="preserve">a </w:t>
      </w:r>
      <w:r w:rsidR="00D524A4" w:rsidRPr="00D91ABA">
        <w:rPr>
          <w:lang w:val="en-GB"/>
        </w:rPr>
        <w:t xml:space="preserve">basic compound with </w:t>
      </w:r>
      <w:proofErr w:type="gramStart"/>
      <w:r w:rsidR="00D524A4" w:rsidRPr="00D91ABA">
        <w:rPr>
          <w:lang w:val="en-GB"/>
        </w:rPr>
        <w:t>a</w:t>
      </w:r>
      <w:proofErr w:type="gramEnd"/>
      <w:r w:rsidR="00D524A4" w:rsidRPr="00D91ABA">
        <w:rPr>
          <w:lang w:val="en-GB"/>
        </w:rPr>
        <w:t xml:space="preserve"> </w:t>
      </w:r>
      <w:r w:rsidR="00EC429B">
        <w:rPr>
          <w:lang w:val="en-GB"/>
        </w:rPr>
        <w:t xml:space="preserve">aqueous </w:t>
      </w:r>
      <w:proofErr w:type="spellStart"/>
      <w:r w:rsidR="00D524A4" w:rsidRPr="00D91ABA">
        <w:rPr>
          <w:lang w:val="en-GB"/>
        </w:rPr>
        <w:t>p</w:t>
      </w:r>
      <w:r w:rsidR="00D524A4" w:rsidRPr="00D91ABA">
        <w:rPr>
          <w:i/>
          <w:iCs/>
          <w:lang w:val="en-GB"/>
        </w:rPr>
        <w:t>K</w:t>
      </w:r>
      <w:r w:rsidR="00D524A4" w:rsidRPr="00D91ABA">
        <w:rPr>
          <w:vertAlign w:val="subscript"/>
          <w:lang w:val="en-GB"/>
        </w:rPr>
        <w:t>a</w:t>
      </w:r>
      <w:proofErr w:type="spellEnd"/>
      <w:r w:rsidR="00D524A4" w:rsidRPr="00D91ABA">
        <w:rPr>
          <w:lang w:val="en-GB"/>
        </w:rPr>
        <w:t xml:space="preserve"> value of 5, was dissolved in the buffer solution at pH 7.0. The neutral compounds (</w:t>
      </w:r>
      <w:r w:rsidR="00D524A4" w:rsidRPr="00D91ABA">
        <w:rPr>
          <w:rFonts w:cs="Arial"/>
          <w:shd w:val="clear" w:color="auto" w:fill="FFFFFF"/>
        </w:rPr>
        <w:t xml:space="preserve">progesterone, </w:t>
      </w:r>
      <w:proofErr w:type="spellStart"/>
      <w:r w:rsidR="00D524A4" w:rsidRPr="00D91ABA">
        <w:rPr>
          <w:rFonts w:cs="Arial"/>
          <w:shd w:val="clear" w:color="auto" w:fill="FFFFFF"/>
        </w:rPr>
        <w:t>griseofulvin</w:t>
      </w:r>
      <w:proofErr w:type="spellEnd"/>
      <w:r w:rsidR="00D524A4" w:rsidRPr="00D91ABA">
        <w:rPr>
          <w:rFonts w:cs="Arial"/>
          <w:shd w:val="clear" w:color="auto" w:fill="FFFFFF"/>
        </w:rPr>
        <w:t xml:space="preserve">, </w:t>
      </w:r>
      <w:proofErr w:type="spellStart"/>
      <w:r w:rsidR="00D524A4" w:rsidRPr="00D91ABA">
        <w:rPr>
          <w:rFonts w:cs="Arial"/>
          <w:shd w:val="clear" w:color="auto" w:fill="FFFFFF"/>
        </w:rPr>
        <w:t>digitoxin</w:t>
      </w:r>
      <w:proofErr w:type="spellEnd"/>
      <w:r w:rsidR="00D524A4" w:rsidRPr="00D91ABA">
        <w:rPr>
          <w:rFonts w:cs="Arial"/>
          <w:shd w:val="clear" w:color="auto" w:fill="FFFFFF"/>
        </w:rPr>
        <w:t xml:space="preserve"> and hydrocortisone) were dissolved at pH 3.0. </w:t>
      </w:r>
      <w:r w:rsidR="00D524A4" w:rsidRPr="00D91ABA">
        <w:rPr>
          <w:rStyle w:val="Emphasis"/>
          <w:bCs/>
          <w:i w:val="0"/>
          <w:color w:val="auto"/>
        </w:rPr>
        <w:t xml:space="preserve">The </w:t>
      </w:r>
      <w:r w:rsidR="000F4754" w:rsidRPr="00D91ABA">
        <w:rPr>
          <w:rStyle w:val="Emphasis"/>
          <w:bCs/>
          <w:i w:val="0"/>
          <w:color w:val="auto"/>
        </w:rPr>
        <w:t>skin-PAMPA</w:t>
      </w:r>
      <w:r w:rsidR="00D524A4" w:rsidRPr="00D91ABA">
        <w:rPr>
          <w:rStyle w:val="Emphasis"/>
          <w:bCs/>
          <w:i w:val="0"/>
          <w:color w:val="auto"/>
        </w:rPr>
        <w:t xml:space="preserve"> sandwiches were incubated (with and without stirring) for 30 min, 4 h and 24</w:t>
      </w:r>
      <w:r w:rsidR="00EC429B">
        <w:rPr>
          <w:rStyle w:val="Emphasis"/>
          <w:bCs/>
          <w:i w:val="0"/>
          <w:color w:val="auto"/>
        </w:rPr>
        <w:t xml:space="preserve"> </w:t>
      </w:r>
      <w:r w:rsidR="00D524A4" w:rsidRPr="00D91ABA">
        <w:rPr>
          <w:rStyle w:val="Emphasis"/>
          <w:bCs/>
          <w:i w:val="0"/>
          <w:color w:val="auto"/>
        </w:rPr>
        <w:t>h.</w:t>
      </w:r>
      <w:r w:rsidR="000D41CE" w:rsidRPr="00D91ABA">
        <w:rPr>
          <w:rStyle w:val="Emphasis"/>
          <w:bCs/>
          <w:i w:val="0"/>
          <w:color w:val="auto"/>
        </w:rPr>
        <w:t xml:space="preserve"> The </w:t>
      </w:r>
      <w:r w:rsidR="002342E9" w:rsidRPr="00D91ABA">
        <w:rPr>
          <w:rStyle w:val="Emphasis"/>
          <w:bCs/>
          <w:i w:val="0"/>
          <w:color w:val="auto"/>
        </w:rPr>
        <w:t xml:space="preserve">logarithm of </w:t>
      </w:r>
      <w:r w:rsidR="000F4754" w:rsidRPr="00D91ABA">
        <w:rPr>
          <w:rStyle w:val="Emphasis"/>
          <w:bCs/>
          <w:i w:val="0"/>
          <w:color w:val="auto"/>
        </w:rPr>
        <w:t>skin-PAMPA</w:t>
      </w:r>
      <w:r w:rsidR="002342E9" w:rsidRPr="00D91ABA">
        <w:rPr>
          <w:rStyle w:val="Emphasis"/>
          <w:bCs/>
          <w:i w:val="0"/>
          <w:color w:val="auto"/>
        </w:rPr>
        <w:t xml:space="preserve"> permeability values (log </w:t>
      </w:r>
      <w:proofErr w:type="spellStart"/>
      <w:r w:rsidR="002342E9" w:rsidRPr="00EC429B">
        <w:rPr>
          <w:rStyle w:val="Emphasis"/>
          <w:bCs/>
          <w:color w:val="auto"/>
        </w:rPr>
        <w:t>P</w:t>
      </w:r>
      <w:r w:rsidR="002342E9" w:rsidRPr="00D91ABA">
        <w:rPr>
          <w:rStyle w:val="Emphasis"/>
          <w:bCs/>
          <w:i w:val="0"/>
          <w:color w:val="auto"/>
          <w:vertAlign w:val="subscript"/>
        </w:rPr>
        <w:t>e</w:t>
      </w:r>
      <w:proofErr w:type="spellEnd"/>
      <w:r w:rsidR="002342E9" w:rsidRPr="00D91ABA">
        <w:rPr>
          <w:rStyle w:val="Emphasis"/>
          <w:bCs/>
          <w:i w:val="0"/>
          <w:color w:val="auto"/>
        </w:rPr>
        <w:t xml:space="preserve">) and the corresponding membrane </w:t>
      </w:r>
      <w:r w:rsidR="00FC07EE" w:rsidRPr="00D91ABA">
        <w:rPr>
          <w:rStyle w:val="Emphasis"/>
          <w:bCs/>
          <w:i w:val="0"/>
          <w:color w:val="auto"/>
        </w:rPr>
        <w:t xml:space="preserve">retention </w:t>
      </w:r>
      <w:r w:rsidR="000D41CE" w:rsidRPr="00D91ABA">
        <w:rPr>
          <w:rStyle w:val="Emphasis"/>
          <w:bCs/>
          <w:i w:val="0"/>
          <w:color w:val="auto"/>
        </w:rPr>
        <w:t xml:space="preserve">are presented in Table 1. </w:t>
      </w:r>
      <w:r w:rsidR="002342E9" w:rsidRPr="00D91ABA">
        <w:rPr>
          <w:rStyle w:val="Emphasis"/>
          <w:bCs/>
          <w:i w:val="0"/>
          <w:color w:val="auto"/>
        </w:rPr>
        <w:t xml:space="preserve">This table also shows the logarithm of </w:t>
      </w:r>
      <w:r w:rsidR="00EC429B">
        <w:rPr>
          <w:rStyle w:val="Emphasis"/>
          <w:bCs/>
          <w:i w:val="0"/>
          <w:color w:val="auto"/>
        </w:rPr>
        <w:t xml:space="preserve">the </w:t>
      </w:r>
      <w:r w:rsidR="002342E9" w:rsidRPr="00D91ABA">
        <w:rPr>
          <w:rStyle w:val="Emphasis"/>
          <w:bCs/>
          <w:i w:val="0"/>
          <w:color w:val="auto"/>
        </w:rPr>
        <w:t xml:space="preserve">octanol-water partition coefficient (log </w:t>
      </w:r>
      <w:r w:rsidR="002342E9" w:rsidRPr="00EC429B">
        <w:rPr>
          <w:rStyle w:val="Emphasis"/>
          <w:bCs/>
          <w:color w:val="auto"/>
        </w:rPr>
        <w:t>P</w:t>
      </w:r>
      <w:r w:rsidR="002342E9" w:rsidRPr="00D91ABA">
        <w:rPr>
          <w:rStyle w:val="Emphasis"/>
          <w:bCs/>
          <w:i w:val="0"/>
          <w:color w:val="auto"/>
          <w:vertAlign w:val="subscript"/>
        </w:rPr>
        <w:t>o/w</w:t>
      </w:r>
      <w:r w:rsidR="002342E9" w:rsidRPr="00D91ABA">
        <w:rPr>
          <w:rStyle w:val="Emphasis"/>
          <w:bCs/>
          <w:i w:val="0"/>
          <w:color w:val="auto"/>
        </w:rPr>
        <w:t xml:space="preserve">) and the </w:t>
      </w:r>
      <w:r w:rsidR="00A66664" w:rsidRPr="00D91ABA">
        <w:rPr>
          <w:rStyle w:val="Emphasis"/>
          <w:bCs/>
          <w:i w:val="0"/>
          <w:color w:val="auto"/>
        </w:rPr>
        <w:t xml:space="preserve">logarithm of </w:t>
      </w:r>
      <w:r w:rsidR="002342E9" w:rsidRPr="00D91ABA">
        <w:rPr>
          <w:rStyle w:val="Emphasis"/>
          <w:bCs/>
          <w:i w:val="0"/>
          <w:color w:val="auto"/>
        </w:rPr>
        <w:t>human skin perm</w:t>
      </w:r>
      <w:r w:rsidR="00A66664" w:rsidRPr="00D91ABA">
        <w:rPr>
          <w:rStyle w:val="Emphasis"/>
          <w:bCs/>
          <w:i w:val="0"/>
          <w:color w:val="auto"/>
        </w:rPr>
        <w:t>eation</w:t>
      </w:r>
      <w:r w:rsidR="002342E9" w:rsidRPr="00D91ABA">
        <w:rPr>
          <w:rStyle w:val="Emphasis"/>
          <w:bCs/>
          <w:i w:val="0"/>
          <w:color w:val="auto"/>
        </w:rPr>
        <w:t xml:space="preserve"> coefficient (log </w:t>
      </w:r>
      <w:proofErr w:type="spellStart"/>
      <w:proofErr w:type="gramStart"/>
      <w:r w:rsidR="002342E9" w:rsidRPr="00EC429B">
        <w:rPr>
          <w:rStyle w:val="Emphasis"/>
          <w:bCs/>
          <w:color w:val="auto"/>
        </w:rPr>
        <w:t>K</w:t>
      </w:r>
      <w:r w:rsidR="002342E9" w:rsidRPr="00D91ABA">
        <w:rPr>
          <w:rStyle w:val="Emphasis"/>
          <w:bCs/>
          <w:i w:val="0"/>
          <w:color w:val="auto"/>
          <w:vertAlign w:val="subscript"/>
        </w:rPr>
        <w:t>p</w:t>
      </w:r>
      <w:proofErr w:type="spellEnd"/>
      <w:proofErr w:type="gramEnd"/>
      <w:r w:rsidR="002342E9" w:rsidRPr="00D91ABA">
        <w:rPr>
          <w:rStyle w:val="Emphasis"/>
          <w:bCs/>
          <w:i w:val="0"/>
          <w:color w:val="auto"/>
        </w:rPr>
        <w:t xml:space="preserve">) for each compound. </w:t>
      </w:r>
      <w:bookmarkStart w:id="4" w:name="_Hlk20833668"/>
      <w:r w:rsidR="003D6BC1" w:rsidRPr="00D91ABA">
        <w:rPr>
          <w:rStyle w:val="Emphasis"/>
          <w:bCs/>
          <w:i w:val="0"/>
          <w:color w:val="auto"/>
        </w:rPr>
        <w:t xml:space="preserve">The log </w:t>
      </w:r>
      <w:proofErr w:type="spellStart"/>
      <w:r w:rsidR="003D6BC1" w:rsidRPr="00EC429B">
        <w:rPr>
          <w:rStyle w:val="Emphasis"/>
          <w:bCs/>
          <w:color w:val="auto"/>
        </w:rPr>
        <w:t>K</w:t>
      </w:r>
      <w:r w:rsidR="003D6BC1" w:rsidRPr="00D91ABA">
        <w:rPr>
          <w:rStyle w:val="Emphasis"/>
          <w:bCs/>
          <w:i w:val="0"/>
          <w:color w:val="auto"/>
          <w:vertAlign w:val="subscript"/>
        </w:rPr>
        <w:t>p</w:t>
      </w:r>
      <w:proofErr w:type="spellEnd"/>
      <w:r w:rsidR="003D6BC1" w:rsidRPr="00D91ABA">
        <w:rPr>
          <w:rStyle w:val="Emphasis"/>
          <w:bCs/>
          <w:i w:val="0"/>
          <w:color w:val="auto"/>
        </w:rPr>
        <w:t xml:space="preserve"> data was obtained from Zhang </w:t>
      </w:r>
      <w:r w:rsidR="003D6BC1" w:rsidRPr="00D91ABA">
        <w:rPr>
          <w:rStyle w:val="Emphasis"/>
          <w:bCs/>
          <w:color w:val="auto"/>
        </w:rPr>
        <w:t>et al.</w:t>
      </w:r>
      <w:r w:rsidR="003D6BC1" w:rsidRPr="00D91ABA">
        <w:rPr>
          <w:rStyle w:val="Emphasis"/>
          <w:bCs/>
          <w:i w:val="0"/>
          <w:color w:val="auto"/>
        </w:rPr>
        <w:t xml:space="preserve"> database </w:t>
      </w:r>
      <w:r w:rsidR="003D6BC1" w:rsidRPr="00D91ABA">
        <w:rPr>
          <w:rStyle w:val="Emphasis"/>
          <w:bCs/>
          <w:i w:val="0"/>
          <w:color w:val="auto"/>
        </w:rPr>
        <w:fldChar w:fldCharType="begin" w:fldLock="1"/>
      </w:r>
      <w:r w:rsidR="00913B15" w:rsidRPr="00D91ABA">
        <w:rPr>
          <w:rStyle w:val="Emphasis"/>
          <w:bCs/>
          <w:i w:val="0"/>
          <w:color w:val="auto"/>
        </w:rPr>
        <w:instrText>ADDIN CSL_CITATION {"citationItems":[{"id":"ITEM-1","itemData":{"DOI":"10.1016/j.ijpharm.2017.02.059","ISSN":"18733476","abstract":"Experimental values of permeability coefficients, as log Kp, of chemical compounds across human skin were collected by carefully screening the literature, and adjusted to 37 °C for the effect of temperature. The values of log Kpfor partially ionized acids and bases were separated into those for their neutral and ionic species, forming a total data set of 247 compounds and species (including 35 ionic species). The obtained log Kpvalues have been regressed against Abraham solute descriptors to yield a correlation equation with R2 = 0.866 and SD = 0.432 log units. The equation can provide valid predictions for log Kpof neutral molecules, ions and ionic species, with predictive R2 = 0.858 and predictive SD = 0.445 log units calculated by the leave-one-out statistics. The predicted log Kpvalues for Na+and Et4N+are in good agreement with the observed values. We calculated the values of log Kpof ketoprofen as a function of the pH of the donor solution, and found that log Kpmarkedly varies only when ketoprofen is largely ionized. This explains why models that neglect ionization of permeants still yield reasonable statistical results. The effect of skin thickness on log Kpwas investigated by inclusion of two indicator variables, one for intermediate thickness skin and one for full thickness skin, into the above equation. The newly obtained equations were found to be statistically very close to the above equation. Therefore, the thickness of human skin used makes little difference to the experimental values of log Kp.","author":[{"dropping-particle":"","family":"Zhang","given":"Keda","non-dropping-particle":"","parse-names":false,"suffix":""},{"dropping-particle":"","family":"Abraham","given":"Michael H.","non-dropping-particle":"","parse-names":false,"suffix":""},{"dropping-particle":"","family":"Liu","given":"Xiangli","non-dropping-particle":"","parse-names":false,"suffix":""}],"container-title":"International Journal of Pharmaceutics","id":"ITEM-1","issue":"1-2","issued":{"date-parts":[["2017"]]},"page":"259-266","publisher":"Elsevier B.V.","title":"An equation for the prediction of human skin permeability of neutral molecules, ions and ionic species","type":"article-journal","volume":"521"},"uris":["http://www.mendeley.com/documents/?uuid=ec1b31d8-8244-4c46-ac8d-c8080cda3b28"]}],"mendeley":{"formattedCitation":"[18]","plainTextFormattedCitation":"[18]","previouslyFormattedCitation":"[18]"},"properties":{"noteIndex":0},"schema":"https://github.com/citation-style-language/schema/raw/master/csl-citation.json"}</w:instrText>
      </w:r>
      <w:r w:rsidR="003D6BC1" w:rsidRPr="00D91ABA">
        <w:rPr>
          <w:rStyle w:val="Emphasis"/>
          <w:bCs/>
          <w:i w:val="0"/>
          <w:color w:val="auto"/>
        </w:rPr>
        <w:fldChar w:fldCharType="separate"/>
      </w:r>
      <w:r w:rsidR="00913B15" w:rsidRPr="00D91ABA">
        <w:rPr>
          <w:rStyle w:val="Emphasis"/>
          <w:bCs/>
          <w:i w:val="0"/>
          <w:noProof/>
          <w:color w:val="auto"/>
        </w:rPr>
        <w:t>[18]</w:t>
      </w:r>
      <w:r w:rsidR="003D6BC1" w:rsidRPr="00D91ABA">
        <w:rPr>
          <w:rStyle w:val="Emphasis"/>
          <w:bCs/>
          <w:i w:val="0"/>
          <w:color w:val="auto"/>
        </w:rPr>
        <w:fldChar w:fldCharType="end"/>
      </w:r>
      <w:bookmarkEnd w:id="4"/>
      <w:r w:rsidR="00663981" w:rsidRPr="00D91ABA">
        <w:rPr>
          <w:rStyle w:val="Emphasis"/>
          <w:bCs/>
          <w:i w:val="0"/>
          <w:color w:val="auto"/>
        </w:rPr>
        <w:t>.</w:t>
      </w:r>
      <w:r w:rsidR="00CD0F87" w:rsidRPr="00D91ABA">
        <w:rPr>
          <w:rStyle w:val="Emphasis"/>
          <w:bCs/>
          <w:i w:val="0"/>
          <w:color w:val="auto"/>
        </w:rPr>
        <w:t xml:space="preserve"> </w:t>
      </w:r>
      <w:r w:rsidR="008C0B61" w:rsidRPr="00D91ABA">
        <w:rPr>
          <w:rStyle w:val="Emphasis"/>
          <w:bCs/>
          <w:i w:val="0"/>
          <w:color w:val="auto"/>
        </w:rPr>
        <w:t xml:space="preserve">This database provides </w:t>
      </w:r>
      <w:r w:rsidR="008C0B61" w:rsidRPr="00D91ABA">
        <w:rPr>
          <w:lang w:val="en-GB"/>
        </w:rPr>
        <w:t>an extensive and carefully examined data set</w:t>
      </w:r>
      <w:r w:rsidR="008C0B61" w:rsidRPr="00D91ABA">
        <w:t xml:space="preserve">, where experimental log </w:t>
      </w:r>
      <w:proofErr w:type="spellStart"/>
      <w:proofErr w:type="gramStart"/>
      <w:r w:rsidR="008C0B61" w:rsidRPr="00EC429B">
        <w:rPr>
          <w:i/>
        </w:rPr>
        <w:t>K</w:t>
      </w:r>
      <w:r w:rsidR="008C0B61" w:rsidRPr="00D91ABA">
        <w:rPr>
          <w:vertAlign w:val="subscript"/>
        </w:rPr>
        <w:t>p</w:t>
      </w:r>
      <w:proofErr w:type="spellEnd"/>
      <w:proofErr w:type="gramEnd"/>
      <w:r w:rsidR="008C0B61" w:rsidRPr="00D91ABA">
        <w:t xml:space="preserve"> data from literature is </w:t>
      </w:r>
      <w:r w:rsidR="008C0B61" w:rsidRPr="00D91ABA">
        <w:rPr>
          <w:lang w:val="en-GB"/>
        </w:rPr>
        <w:t xml:space="preserve">corrected for ionization in water and for </w:t>
      </w:r>
      <w:r w:rsidR="00EC429B">
        <w:rPr>
          <w:lang w:val="en-GB"/>
        </w:rPr>
        <w:t xml:space="preserve">the </w:t>
      </w:r>
      <w:r w:rsidR="008C0B61" w:rsidRPr="00D91ABA">
        <w:rPr>
          <w:lang w:val="en-GB"/>
        </w:rPr>
        <w:t xml:space="preserve">temperature at 37 </w:t>
      </w:r>
      <w:r w:rsidR="00EC429B">
        <w:rPr>
          <w:lang w:val="en-GB"/>
        </w:rPr>
        <w:t>°</w:t>
      </w:r>
      <w:r w:rsidR="008C0B61" w:rsidRPr="00D91ABA">
        <w:rPr>
          <w:lang w:val="en-GB"/>
        </w:rPr>
        <w:t xml:space="preserve">C. </w:t>
      </w:r>
    </w:p>
    <w:p w14:paraId="47A3DBE2" w14:textId="127DE6CD" w:rsidR="00B326AE" w:rsidRDefault="0042003D" w:rsidP="0042003D">
      <w:pPr>
        <w:pStyle w:val="ADMETtablecaptions"/>
        <w:ind w:left="0"/>
        <w:rPr>
          <w:lang w:val="en-GB"/>
        </w:rPr>
      </w:pPr>
      <w:proofErr w:type="gramStart"/>
      <w:r w:rsidRPr="00D91ABA">
        <w:rPr>
          <w:b/>
          <w:bCs/>
          <w:lang w:val="en-GB"/>
        </w:rPr>
        <w:t>Table 1.</w:t>
      </w:r>
      <w:proofErr w:type="gramEnd"/>
      <w:r w:rsidRPr="00D91ABA">
        <w:rPr>
          <w:lang w:val="en-GB"/>
        </w:rPr>
        <w:t xml:space="preserve"> </w:t>
      </w:r>
      <w:proofErr w:type="gramStart"/>
      <w:r w:rsidRPr="00D91ABA">
        <w:rPr>
          <w:lang w:val="en-GB"/>
        </w:rPr>
        <w:t>log</w:t>
      </w:r>
      <w:proofErr w:type="gramEnd"/>
      <w:r w:rsidRPr="00D91ABA">
        <w:rPr>
          <w:lang w:val="en-GB"/>
        </w:rPr>
        <w:t xml:space="preserve"> </w:t>
      </w:r>
      <w:proofErr w:type="spellStart"/>
      <w:r w:rsidRPr="0042003D">
        <w:rPr>
          <w:i/>
          <w:lang w:val="en-GB"/>
        </w:rPr>
        <w:t>P</w:t>
      </w:r>
      <w:r w:rsidRPr="00D91ABA">
        <w:rPr>
          <w:vertAlign w:val="subscript"/>
          <w:lang w:val="en-GB"/>
        </w:rPr>
        <w:t>e</w:t>
      </w:r>
      <w:proofErr w:type="spellEnd"/>
      <w:r w:rsidRPr="00D91ABA">
        <w:rPr>
          <w:lang w:val="en-GB"/>
        </w:rPr>
        <w:t xml:space="preserve"> values of the neutral form of the drugs, obtained from skin-PAMPA assays with and without stirring at different incubation times</w:t>
      </w:r>
      <w:r w:rsidRPr="00D91ABA">
        <w:t>.</w:t>
      </w:r>
    </w:p>
    <w:tbl>
      <w:tblPr>
        <w:tblW w:w="9957" w:type="dxa"/>
        <w:jc w:val="center"/>
        <w:tblInd w:w="131" w:type="dxa"/>
        <w:tblLayout w:type="fixed"/>
        <w:tblCellMar>
          <w:left w:w="70" w:type="dxa"/>
          <w:right w:w="70" w:type="dxa"/>
        </w:tblCellMar>
        <w:tblLook w:val="04A0" w:firstRow="1" w:lastRow="0" w:firstColumn="1" w:lastColumn="0" w:noHBand="0" w:noVBand="1"/>
      </w:tblPr>
      <w:tblGrid>
        <w:gridCol w:w="1286"/>
        <w:gridCol w:w="714"/>
        <w:gridCol w:w="826"/>
        <w:gridCol w:w="680"/>
        <w:gridCol w:w="1077"/>
        <w:gridCol w:w="1077"/>
        <w:gridCol w:w="1069"/>
        <w:gridCol w:w="8"/>
        <w:gridCol w:w="1077"/>
        <w:gridCol w:w="1077"/>
        <w:gridCol w:w="1066"/>
      </w:tblGrid>
      <w:tr w:rsidR="004843D7" w:rsidRPr="00571545" w14:paraId="22F21B3F" w14:textId="77777777" w:rsidTr="009A42DA">
        <w:trPr>
          <w:trHeight w:val="340"/>
          <w:jc w:val="center"/>
        </w:trPr>
        <w:tc>
          <w:tcPr>
            <w:tcW w:w="1286" w:type="dxa"/>
            <w:shd w:val="clear" w:color="auto" w:fill="auto"/>
            <w:noWrap/>
            <w:vAlign w:val="center"/>
          </w:tcPr>
          <w:p w14:paraId="23E40492" w14:textId="77777777" w:rsidR="004843D7" w:rsidRPr="00571545" w:rsidRDefault="004843D7" w:rsidP="004843D7">
            <w:pPr>
              <w:spacing w:line="240" w:lineRule="auto"/>
              <w:jc w:val="left"/>
              <w:rPr>
                <w:rFonts w:cs="Calibri"/>
                <w:b/>
                <w:bCs/>
                <w:color w:val="auto"/>
                <w:sz w:val="18"/>
                <w:szCs w:val="18"/>
                <w:lang w:eastAsia="es-ES"/>
              </w:rPr>
            </w:pPr>
          </w:p>
        </w:tc>
        <w:tc>
          <w:tcPr>
            <w:tcW w:w="714" w:type="dxa"/>
            <w:vAlign w:val="center"/>
          </w:tcPr>
          <w:p w14:paraId="7D9009DD" w14:textId="77777777" w:rsidR="004843D7" w:rsidRPr="00571545" w:rsidRDefault="004843D7" w:rsidP="004843D7">
            <w:pPr>
              <w:spacing w:line="240" w:lineRule="auto"/>
              <w:jc w:val="center"/>
              <w:rPr>
                <w:rFonts w:cs="Calibri"/>
                <w:b/>
                <w:bCs/>
                <w:color w:val="auto"/>
                <w:sz w:val="18"/>
                <w:szCs w:val="18"/>
                <w:lang w:eastAsia="es-ES"/>
              </w:rPr>
            </w:pPr>
          </w:p>
        </w:tc>
        <w:tc>
          <w:tcPr>
            <w:tcW w:w="826" w:type="dxa"/>
            <w:vAlign w:val="center"/>
          </w:tcPr>
          <w:p w14:paraId="19D7564E" w14:textId="77777777" w:rsidR="004843D7" w:rsidRPr="00571545" w:rsidRDefault="004843D7" w:rsidP="004843D7">
            <w:pPr>
              <w:spacing w:line="240" w:lineRule="auto"/>
              <w:jc w:val="center"/>
              <w:rPr>
                <w:rFonts w:cs="Calibri"/>
                <w:b/>
                <w:bCs/>
                <w:color w:val="auto"/>
                <w:sz w:val="18"/>
                <w:szCs w:val="18"/>
                <w:lang w:eastAsia="es-ES"/>
              </w:rPr>
            </w:pPr>
          </w:p>
        </w:tc>
        <w:tc>
          <w:tcPr>
            <w:tcW w:w="680" w:type="dxa"/>
            <w:vAlign w:val="center"/>
          </w:tcPr>
          <w:p w14:paraId="75169AEA" w14:textId="77777777" w:rsidR="004843D7" w:rsidRPr="00571545" w:rsidRDefault="004843D7" w:rsidP="004843D7">
            <w:pPr>
              <w:spacing w:line="240" w:lineRule="auto"/>
              <w:jc w:val="center"/>
              <w:rPr>
                <w:rFonts w:cs="Calibri"/>
                <w:b/>
                <w:bCs/>
                <w:color w:val="auto"/>
                <w:sz w:val="18"/>
                <w:szCs w:val="18"/>
                <w:lang w:eastAsia="es-ES"/>
              </w:rPr>
            </w:pPr>
          </w:p>
        </w:tc>
        <w:tc>
          <w:tcPr>
            <w:tcW w:w="6451" w:type="dxa"/>
            <w:gridSpan w:val="7"/>
            <w:tcBorders>
              <w:top w:val="single" w:sz="4" w:space="0" w:color="auto"/>
              <w:bottom w:val="single" w:sz="4" w:space="0" w:color="auto"/>
            </w:tcBorders>
            <w:shd w:val="clear" w:color="auto" w:fill="auto"/>
            <w:noWrap/>
            <w:vAlign w:val="center"/>
          </w:tcPr>
          <w:p w14:paraId="7F420621"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 xml:space="preserve">log </w:t>
            </w:r>
            <w:r w:rsidRPr="00571545">
              <w:rPr>
                <w:rFonts w:cs="Calibri"/>
                <w:b/>
                <w:bCs/>
                <w:i/>
                <w:color w:val="auto"/>
                <w:sz w:val="18"/>
                <w:szCs w:val="18"/>
                <w:lang w:val="es-ES" w:eastAsia="es-ES"/>
              </w:rPr>
              <w:t>P</w:t>
            </w:r>
            <w:r w:rsidRPr="00571545">
              <w:rPr>
                <w:rFonts w:cs="Calibri"/>
                <w:b/>
                <w:bCs/>
                <w:color w:val="auto"/>
                <w:sz w:val="18"/>
                <w:szCs w:val="18"/>
                <w:vertAlign w:val="subscript"/>
                <w:lang w:val="es-ES" w:eastAsia="es-ES"/>
              </w:rPr>
              <w:t>e</w:t>
            </w:r>
          </w:p>
        </w:tc>
      </w:tr>
      <w:tr w:rsidR="004843D7" w:rsidRPr="00571545" w14:paraId="02461BA9" w14:textId="77777777" w:rsidTr="009A42DA">
        <w:trPr>
          <w:trHeight w:val="340"/>
          <w:jc w:val="center"/>
        </w:trPr>
        <w:tc>
          <w:tcPr>
            <w:tcW w:w="1286" w:type="dxa"/>
            <w:shd w:val="clear" w:color="auto" w:fill="auto"/>
            <w:noWrap/>
            <w:vAlign w:val="center"/>
          </w:tcPr>
          <w:p w14:paraId="3D0C1215" w14:textId="77777777" w:rsidR="004843D7" w:rsidRPr="00571545" w:rsidRDefault="004843D7" w:rsidP="004843D7">
            <w:pPr>
              <w:spacing w:line="240" w:lineRule="auto"/>
              <w:jc w:val="left"/>
              <w:rPr>
                <w:rFonts w:cs="Calibri"/>
                <w:b/>
                <w:bCs/>
                <w:color w:val="auto"/>
                <w:sz w:val="18"/>
                <w:szCs w:val="18"/>
                <w:lang w:val="es-ES" w:eastAsia="es-ES"/>
              </w:rPr>
            </w:pPr>
          </w:p>
        </w:tc>
        <w:tc>
          <w:tcPr>
            <w:tcW w:w="714" w:type="dxa"/>
            <w:vAlign w:val="center"/>
          </w:tcPr>
          <w:p w14:paraId="131E9370" w14:textId="77777777" w:rsidR="004843D7" w:rsidRPr="00571545" w:rsidRDefault="004843D7" w:rsidP="004843D7">
            <w:pPr>
              <w:spacing w:line="240" w:lineRule="auto"/>
              <w:jc w:val="center"/>
              <w:rPr>
                <w:rFonts w:cs="Calibri"/>
                <w:b/>
                <w:bCs/>
                <w:color w:val="auto"/>
                <w:sz w:val="18"/>
                <w:szCs w:val="18"/>
                <w:lang w:val="es-ES" w:eastAsia="es-ES"/>
              </w:rPr>
            </w:pPr>
          </w:p>
        </w:tc>
        <w:tc>
          <w:tcPr>
            <w:tcW w:w="826" w:type="dxa"/>
            <w:vAlign w:val="center"/>
          </w:tcPr>
          <w:p w14:paraId="170AE111" w14:textId="77777777" w:rsidR="004843D7" w:rsidRPr="00571545" w:rsidRDefault="004843D7" w:rsidP="004843D7">
            <w:pPr>
              <w:spacing w:line="240" w:lineRule="auto"/>
              <w:jc w:val="center"/>
              <w:rPr>
                <w:rFonts w:cs="Calibri"/>
                <w:b/>
                <w:bCs/>
                <w:color w:val="auto"/>
                <w:sz w:val="18"/>
                <w:szCs w:val="18"/>
                <w:lang w:val="es-ES" w:eastAsia="es-ES"/>
              </w:rPr>
            </w:pPr>
          </w:p>
        </w:tc>
        <w:tc>
          <w:tcPr>
            <w:tcW w:w="680" w:type="dxa"/>
            <w:vAlign w:val="center"/>
          </w:tcPr>
          <w:p w14:paraId="1769178E" w14:textId="77777777" w:rsidR="004843D7" w:rsidRPr="00571545" w:rsidRDefault="004843D7" w:rsidP="004843D7">
            <w:pPr>
              <w:spacing w:line="240" w:lineRule="auto"/>
              <w:jc w:val="center"/>
              <w:rPr>
                <w:rFonts w:cs="Calibri"/>
                <w:b/>
                <w:bCs/>
                <w:color w:val="auto"/>
                <w:sz w:val="18"/>
                <w:szCs w:val="18"/>
                <w:lang w:val="es-ES" w:eastAsia="es-ES"/>
              </w:rPr>
            </w:pPr>
          </w:p>
        </w:tc>
        <w:tc>
          <w:tcPr>
            <w:tcW w:w="3223" w:type="dxa"/>
            <w:gridSpan w:val="3"/>
            <w:tcBorders>
              <w:top w:val="single" w:sz="4" w:space="0" w:color="auto"/>
              <w:bottom w:val="single" w:sz="4" w:space="0" w:color="auto"/>
            </w:tcBorders>
            <w:shd w:val="clear" w:color="auto" w:fill="auto"/>
            <w:noWrap/>
            <w:vAlign w:val="center"/>
          </w:tcPr>
          <w:p w14:paraId="35B955EA" w14:textId="77777777" w:rsidR="004843D7" w:rsidRPr="00571545" w:rsidRDefault="004843D7" w:rsidP="004843D7">
            <w:pPr>
              <w:spacing w:line="240" w:lineRule="auto"/>
              <w:jc w:val="center"/>
              <w:rPr>
                <w:rFonts w:cs="Calibri"/>
                <w:b/>
                <w:bCs/>
                <w:color w:val="auto"/>
                <w:sz w:val="18"/>
                <w:szCs w:val="18"/>
                <w:lang w:val="es-ES" w:eastAsia="es-ES"/>
              </w:rPr>
            </w:pPr>
            <w:proofErr w:type="spellStart"/>
            <w:r w:rsidRPr="00571545">
              <w:rPr>
                <w:rFonts w:cs="Calibri"/>
                <w:b/>
                <w:bCs/>
                <w:color w:val="auto"/>
                <w:sz w:val="18"/>
                <w:szCs w:val="18"/>
                <w:lang w:val="es-ES" w:eastAsia="es-ES"/>
              </w:rPr>
              <w:t>With</w:t>
            </w:r>
            <w:proofErr w:type="spellEnd"/>
            <w:r w:rsidRPr="00571545">
              <w:rPr>
                <w:rFonts w:cs="Calibri"/>
                <w:b/>
                <w:bCs/>
                <w:color w:val="auto"/>
                <w:sz w:val="18"/>
                <w:szCs w:val="18"/>
                <w:lang w:val="es-ES" w:eastAsia="es-ES"/>
              </w:rPr>
              <w:t xml:space="preserve"> </w:t>
            </w:r>
            <w:proofErr w:type="spellStart"/>
            <w:r w:rsidRPr="00571545">
              <w:rPr>
                <w:rFonts w:cs="Calibri"/>
                <w:b/>
                <w:bCs/>
                <w:color w:val="auto"/>
                <w:sz w:val="18"/>
                <w:szCs w:val="18"/>
                <w:lang w:val="es-ES" w:eastAsia="es-ES"/>
              </w:rPr>
              <w:t>stirring</w:t>
            </w:r>
            <w:proofErr w:type="spellEnd"/>
          </w:p>
        </w:tc>
        <w:tc>
          <w:tcPr>
            <w:tcW w:w="3228" w:type="dxa"/>
            <w:gridSpan w:val="4"/>
            <w:tcBorders>
              <w:top w:val="single" w:sz="4" w:space="0" w:color="auto"/>
              <w:bottom w:val="single" w:sz="4" w:space="0" w:color="auto"/>
            </w:tcBorders>
            <w:shd w:val="clear" w:color="auto" w:fill="auto"/>
            <w:noWrap/>
            <w:vAlign w:val="center"/>
          </w:tcPr>
          <w:p w14:paraId="2221B5BF" w14:textId="77777777" w:rsidR="004843D7" w:rsidRPr="00571545" w:rsidRDefault="004843D7" w:rsidP="004843D7">
            <w:pPr>
              <w:spacing w:line="240" w:lineRule="auto"/>
              <w:jc w:val="center"/>
              <w:rPr>
                <w:rFonts w:cs="Calibri"/>
                <w:b/>
                <w:bCs/>
                <w:color w:val="auto"/>
                <w:sz w:val="18"/>
                <w:szCs w:val="18"/>
                <w:lang w:val="es-ES" w:eastAsia="es-ES"/>
              </w:rPr>
            </w:pPr>
            <w:proofErr w:type="spellStart"/>
            <w:r w:rsidRPr="00571545">
              <w:rPr>
                <w:rFonts w:cs="Calibri"/>
                <w:b/>
                <w:bCs/>
                <w:color w:val="auto"/>
                <w:sz w:val="18"/>
                <w:szCs w:val="18"/>
                <w:lang w:val="es-ES" w:eastAsia="es-ES"/>
              </w:rPr>
              <w:t>Without</w:t>
            </w:r>
            <w:proofErr w:type="spellEnd"/>
            <w:r w:rsidRPr="00571545">
              <w:rPr>
                <w:rFonts w:cs="Calibri"/>
                <w:b/>
                <w:bCs/>
                <w:color w:val="auto"/>
                <w:sz w:val="18"/>
                <w:szCs w:val="18"/>
                <w:lang w:val="es-ES" w:eastAsia="es-ES"/>
              </w:rPr>
              <w:t xml:space="preserve"> </w:t>
            </w:r>
            <w:proofErr w:type="spellStart"/>
            <w:r w:rsidRPr="00571545">
              <w:rPr>
                <w:rFonts w:cs="Calibri"/>
                <w:b/>
                <w:bCs/>
                <w:color w:val="auto"/>
                <w:sz w:val="18"/>
                <w:szCs w:val="18"/>
                <w:lang w:val="es-ES" w:eastAsia="es-ES"/>
              </w:rPr>
              <w:t>stirring</w:t>
            </w:r>
            <w:proofErr w:type="spellEnd"/>
          </w:p>
        </w:tc>
      </w:tr>
      <w:tr w:rsidR="004843D7" w:rsidRPr="00571545" w14:paraId="74EBE638" w14:textId="77777777" w:rsidTr="009A42DA">
        <w:trPr>
          <w:trHeight w:val="340"/>
          <w:jc w:val="center"/>
        </w:trPr>
        <w:tc>
          <w:tcPr>
            <w:tcW w:w="1286" w:type="dxa"/>
            <w:tcBorders>
              <w:top w:val="single" w:sz="4" w:space="0" w:color="auto"/>
              <w:bottom w:val="single" w:sz="4" w:space="0" w:color="auto"/>
            </w:tcBorders>
            <w:shd w:val="clear" w:color="auto" w:fill="auto"/>
            <w:noWrap/>
            <w:vAlign w:val="center"/>
            <w:hideMark/>
          </w:tcPr>
          <w:p w14:paraId="569FC982" w14:textId="77777777" w:rsidR="004843D7" w:rsidRPr="00571545" w:rsidRDefault="004843D7" w:rsidP="004843D7">
            <w:pPr>
              <w:spacing w:line="240" w:lineRule="auto"/>
              <w:jc w:val="left"/>
              <w:rPr>
                <w:rFonts w:cs="Calibri"/>
                <w:b/>
                <w:bCs/>
                <w:color w:val="auto"/>
                <w:sz w:val="18"/>
                <w:szCs w:val="18"/>
                <w:lang w:val="es-ES" w:eastAsia="es-ES"/>
              </w:rPr>
            </w:pPr>
            <w:proofErr w:type="spellStart"/>
            <w:r w:rsidRPr="00571545">
              <w:rPr>
                <w:rFonts w:cs="Calibri"/>
                <w:b/>
                <w:bCs/>
                <w:color w:val="auto"/>
                <w:sz w:val="18"/>
                <w:szCs w:val="18"/>
                <w:lang w:val="es-ES" w:eastAsia="es-ES"/>
              </w:rPr>
              <w:t>Solutes</w:t>
            </w:r>
            <w:proofErr w:type="spellEnd"/>
          </w:p>
        </w:tc>
        <w:tc>
          <w:tcPr>
            <w:tcW w:w="714" w:type="dxa"/>
            <w:tcBorders>
              <w:top w:val="single" w:sz="4" w:space="0" w:color="auto"/>
              <w:bottom w:val="single" w:sz="4" w:space="0" w:color="auto"/>
            </w:tcBorders>
            <w:vAlign w:val="center"/>
          </w:tcPr>
          <w:p w14:paraId="4B025306"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 xml:space="preserve">log </w:t>
            </w:r>
            <w:proofErr w:type="spellStart"/>
            <w:r w:rsidRPr="00571545">
              <w:rPr>
                <w:rFonts w:cs="Calibri"/>
                <w:b/>
                <w:bCs/>
                <w:i/>
                <w:color w:val="auto"/>
                <w:sz w:val="18"/>
                <w:szCs w:val="18"/>
                <w:lang w:val="es-ES" w:eastAsia="es-ES"/>
              </w:rPr>
              <w:t>K</w:t>
            </w:r>
            <w:r w:rsidRPr="00571545">
              <w:rPr>
                <w:rFonts w:cs="Calibri"/>
                <w:b/>
                <w:bCs/>
                <w:color w:val="auto"/>
                <w:sz w:val="18"/>
                <w:szCs w:val="18"/>
                <w:vertAlign w:val="subscript"/>
                <w:lang w:val="es-ES" w:eastAsia="es-ES"/>
              </w:rPr>
              <w:t>p</w:t>
            </w:r>
            <w:proofErr w:type="spellEnd"/>
            <w:r w:rsidRPr="00571545">
              <w:rPr>
                <w:rFonts w:cs="Calibri"/>
                <w:b/>
                <w:bCs/>
                <w:color w:val="auto"/>
                <w:sz w:val="18"/>
                <w:szCs w:val="18"/>
                <w:lang w:val="es-ES" w:eastAsia="es-ES"/>
              </w:rPr>
              <w:t xml:space="preserve"> </w:t>
            </w:r>
            <w:r w:rsidRPr="00571545">
              <w:rPr>
                <w:rFonts w:cs="Calibri"/>
                <w:b/>
                <w:bCs/>
                <w:color w:val="auto"/>
                <w:sz w:val="18"/>
                <w:szCs w:val="18"/>
                <w:lang w:val="es-ES" w:eastAsia="es-ES"/>
              </w:rPr>
              <w:fldChar w:fldCharType="begin" w:fldLock="1"/>
            </w:r>
            <w:r w:rsidRPr="00571545">
              <w:rPr>
                <w:rFonts w:cs="Calibri"/>
                <w:b/>
                <w:bCs/>
                <w:color w:val="auto"/>
                <w:sz w:val="18"/>
                <w:szCs w:val="18"/>
                <w:lang w:val="es-ES" w:eastAsia="es-ES"/>
              </w:rPr>
              <w:instrText>ADDIN CSL_CITATION {"citationItems":[{"id":"ITEM-1","itemData":{"DOI":"10.1016/j.ijpharm.2017.02.059","ISSN":"18733476","abstract":"Experimental values of permeability coefficients, as log Kp, of chemical compounds across human skin were collected by carefully screening the literature, and adjusted to 37 °C for the effect of temperature. The values of log Kpfor partially ionized acids and bases were separated into those for their neutral and ionic species, forming a total data set of 247 compounds and species (including 35 ionic species). The obtained log Kpvalues have been regressed against Abraham solute descriptors to yield a correlation equation with R2 = 0.866 and SD = 0.432 log units. The equation can provide valid predictions for log Kpof neutral molecules, ions and ionic species, with predictive R2 = 0.858 and predictive SD = 0.445 log units calculated by the leave-one-out statistics. The predicted log Kpvalues for Na+and Et4N+are in good agreement with the observed values. We calculated the values of log Kpof ketoprofen as a function of the pH of the donor solution, and found that log Kpmarkedly varies only when ketoprofen is largely ionized. This explains why models that neglect ionization of permeants still yield reasonable statistical results. The effect of skin thickness on log Kpwas investigated by inclusion of two indicator variables, one for intermediate thickness skin and one for full thickness skin, into the above equation. The newly obtained equations were found to be statistically very close to the above equation. Therefore, the thickness of human skin used makes little difference to the experimental values of log Kp.","author":[{"dropping-particle":"","family":"Zhang","given":"Keda","non-dropping-particle":"","parse-names":false,"suffix":""},{"dropping-particle":"","family":"Abraham","given":"Michael H.","non-dropping-particle":"","parse-names":false,"suffix":""},{"dropping-particle":"","family":"Liu","given":"Xiangli","non-dropping-particle":"","parse-names":false,"suffix":""}],"container-title":"International Journal of Pharmaceutics","id":"ITEM-1","issue":"1-2","issued":{"date-parts":[["2017"]]},"page":"259-266","publisher":"Elsevier B.V.","title":"An equation for the prediction of human skin permeability of neutral molecules, ions and ionic species","type":"article-journal","volume":"521"},"uris":["http://www.mendeley.com/documents/?uuid=ec1b31d8-8244-4c46-ac8d-c8080cda3b28"]}],"mendeley":{"formattedCitation":"[18]","plainTextFormattedCitation":"[18]","previouslyFormattedCitation":"[18]"},"properties":{"noteIndex":0},"schema":"https://github.com/citation-style-language/schema/raw/master/csl-citation.json"}</w:instrText>
            </w:r>
            <w:r w:rsidRPr="00571545">
              <w:rPr>
                <w:rFonts w:cs="Calibri"/>
                <w:b/>
                <w:bCs/>
                <w:color w:val="auto"/>
                <w:sz w:val="18"/>
                <w:szCs w:val="18"/>
                <w:lang w:val="es-ES" w:eastAsia="es-ES"/>
              </w:rPr>
              <w:fldChar w:fldCharType="separate"/>
            </w:r>
            <w:r w:rsidRPr="00571545">
              <w:rPr>
                <w:rFonts w:cs="Calibri"/>
                <w:bCs/>
                <w:noProof/>
                <w:color w:val="auto"/>
                <w:sz w:val="18"/>
                <w:szCs w:val="18"/>
                <w:lang w:val="es-ES" w:eastAsia="es-ES"/>
              </w:rPr>
              <w:t>[18]</w:t>
            </w:r>
            <w:r w:rsidRPr="00571545">
              <w:rPr>
                <w:rFonts w:cs="Calibri"/>
                <w:b/>
                <w:bCs/>
                <w:color w:val="auto"/>
                <w:sz w:val="18"/>
                <w:szCs w:val="18"/>
                <w:lang w:val="es-ES" w:eastAsia="es-ES"/>
              </w:rPr>
              <w:fldChar w:fldCharType="end"/>
            </w:r>
          </w:p>
        </w:tc>
        <w:tc>
          <w:tcPr>
            <w:tcW w:w="826" w:type="dxa"/>
            <w:tcBorders>
              <w:top w:val="single" w:sz="4" w:space="0" w:color="auto"/>
              <w:bottom w:val="single" w:sz="4" w:space="0" w:color="auto"/>
            </w:tcBorders>
            <w:vAlign w:val="center"/>
          </w:tcPr>
          <w:p w14:paraId="3337F302" w14:textId="1DB45EE5" w:rsidR="004843D7" w:rsidRPr="00571545" w:rsidRDefault="004843D7" w:rsidP="008D4DAD">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 xml:space="preserve">log </w:t>
            </w:r>
            <w:r w:rsidRPr="00571545">
              <w:rPr>
                <w:rFonts w:cs="Calibri"/>
                <w:b/>
                <w:bCs/>
                <w:i/>
                <w:color w:val="auto"/>
                <w:sz w:val="18"/>
                <w:szCs w:val="18"/>
                <w:lang w:val="es-ES" w:eastAsia="es-ES"/>
              </w:rPr>
              <w:t>P</w:t>
            </w:r>
            <w:r w:rsidRPr="00571545">
              <w:rPr>
                <w:rFonts w:cs="Calibri"/>
                <w:b/>
                <w:bCs/>
                <w:color w:val="auto"/>
                <w:sz w:val="18"/>
                <w:szCs w:val="18"/>
                <w:vertAlign w:val="subscript"/>
                <w:lang w:val="es-ES" w:eastAsia="es-ES"/>
              </w:rPr>
              <w:t xml:space="preserve">o/w </w:t>
            </w:r>
            <w:r w:rsidRPr="00571545">
              <w:rPr>
                <w:rFonts w:cs="Calibri"/>
                <w:b/>
                <w:bCs/>
                <w:color w:val="auto"/>
                <w:sz w:val="18"/>
                <w:szCs w:val="18"/>
                <w:vertAlign w:val="subscript"/>
                <w:lang w:val="es-ES" w:eastAsia="es-ES"/>
              </w:rPr>
              <w:fldChar w:fldCharType="begin" w:fldLock="1"/>
            </w:r>
            <w:r w:rsidRPr="00571545">
              <w:rPr>
                <w:rFonts w:cs="Calibri"/>
                <w:b/>
                <w:bCs/>
                <w:color w:val="auto"/>
                <w:sz w:val="18"/>
                <w:szCs w:val="18"/>
                <w:vertAlign w:val="subscript"/>
                <w:lang w:val="es-ES" w:eastAsia="es-ES"/>
              </w:rPr>
              <w:instrText>ADDIN CSL_CITATION {"citationItems":[{"id":"ITEM-1","itemData":{"id":"ITEM-1","issued":{"date-parts":[["0"]]},"title":"Bio-Loom, 2017. BioByte Corp. Claremont, CA, USA. www.biobyte.com","type":"article"},"uris":["http://www.mendeley.com/documents/?uuid=50c5563f-f534-4617-9898-bd44ae7ab2bd"]}],"mendeley":{"formattedCitation":"[20]","plainTextFormattedCitation":"[20]","previouslyFormattedCitation":"[19]"},"properties":{"noteIndex":0},"schema":"https://github.com/citation-style-language/schema/raw/master/csl-citation.json"}</w:instrText>
            </w:r>
            <w:r w:rsidRPr="00571545">
              <w:rPr>
                <w:rFonts w:cs="Calibri"/>
                <w:b/>
                <w:bCs/>
                <w:color w:val="auto"/>
                <w:sz w:val="18"/>
                <w:szCs w:val="18"/>
                <w:vertAlign w:val="subscript"/>
                <w:lang w:val="es-ES" w:eastAsia="es-ES"/>
              </w:rPr>
              <w:fldChar w:fldCharType="separate"/>
            </w:r>
            <w:r w:rsidRPr="00571545">
              <w:rPr>
                <w:rFonts w:cs="Calibri"/>
                <w:bCs/>
                <w:noProof/>
                <w:color w:val="auto"/>
                <w:sz w:val="18"/>
                <w:szCs w:val="18"/>
                <w:lang w:val="es-ES" w:eastAsia="es-ES"/>
              </w:rPr>
              <w:t>[</w:t>
            </w:r>
            <w:r w:rsidR="008D4DAD">
              <w:rPr>
                <w:rFonts w:cs="Calibri"/>
                <w:bCs/>
                <w:noProof/>
                <w:color w:val="auto"/>
                <w:sz w:val="18"/>
                <w:szCs w:val="18"/>
                <w:lang w:val="es-ES" w:eastAsia="es-ES"/>
              </w:rPr>
              <w:t>19</w:t>
            </w:r>
            <w:r w:rsidRPr="00571545">
              <w:rPr>
                <w:rFonts w:cs="Calibri"/>
                <w:bCs/>
                <w:noProof/>
                <w:color w:val="auto"/>
                <w:sz w:val="18"/>
                <w:szCs w:val="18"/>
                <w:lang w:val="es-ES" w:eastAsia="es-ES"/>
              </w:rPr>
              <w:t>]</w:t>
            </w:r>
            <w:r w:rsidRPr="00571545">
              <w:rPr>
                <w:rFonts w:cs="Calibri"/>
                <w:b/>
                <w:bCs/>
                <w:color w:val="auto"/>
                <w:sz w:val="18"/>
                <w:szCs w:val="18"/>
                <w:vertAlign w:val="subscript"/>
                <w:lang w:val="es-ES" w:eastAsia="es-ES"/>
              </w:rPr>
              <w:fldChar w:fldCharType="end"/>
            </w:r>
          </w:p>
        </w:tc>
        <w:tc>
          <w:tcPr>
            <w:tcW w:w="680" w:type="dxa"/>
            <w:tcBorders>
              <w:top w:val="single" w:sz="4" w:space="0" w:color="auto"/>
              <w:bottom w:val="single" w:sz="4" w:space="0" w:color="auto"/>
            </w:tcBorders>
            <w:vAlign w:val="center"/>
          </w:tcPr>
          <w:p w14:paraId="047267CD" w14:textId="77777777" w:rsidR="004843D7" w:rsidRPr="00571545" w:rsidRDefault="004843D7" w:rsidP="004843D7">
            <w:pPr>
              <w:spacing w:line="240" w:lineRule="auto"/>
              <w:jc w:val="center"/>
              <w:rPr>
                <w:rFonts w:cs="Calibri"/>
                <w:b/>
                <w:bCs/>
                <w:color w:val="auto"/>
                <w:sz w:val="18"/>
                <w:szCs w:val="18"/>
                <w:lang w:val="es-ES" w:eastAsia="es-ES"/>
              </w:rPr>
            </w:pPr>
            <w:proofErr w:type="spellStart"/>
            <w:r w:rsidRPr="00571545">
              <w:rPr>
                <w:rFonts w:cs="Calibri"/>
                <w:b/>
                <w:bCs/>
                <w:color w:val="auto"/>
                <w:sz w:val="18"/>
                <w:szCs w:val="18"/>
                <w:lang w:val="es-ES" w:eastAsia="es-ES"/>
              </w:rPr>
              <w:t>p</w:t>
            </w:r>
            <w:r w:rsidRPr="00571545">
              <w:rPr>
                <w:rFonts w:cs="Calibri"/>
                <w:b/>
                <w:bCs/>
                <w:i/>
                <w:iCs/>
                <w:color w:val="auto"/>
                <w:sz w:val="18"/>
                <w:szCs w:val="18"/>
                <w:lang w:val="es-ES" w:eastAsia="es-ES"/>
              </w:rPr>
              <w:t>K</w:t>
            </w:r>
            <w:r w:rsidRPr="00571545">
              <w:rPr>
                <w:rFonts w:cs="Calibri"/>
                <w:b/>
                <w:bCs/>
                <w:color w:val="auto"/>
                <w:sz w:val="18"/>
                <w:szCs w:val="18"/>
                <w:vertAlign w:val="subscript"/>
                <w:lang w:val="es-ES" w:eastAsia="es-ES"/>
              </w:rPr>
              <w:t>a</w:t>
            </w:r>
            <w:proofErr w:type="spellEnd"/>
          </w:p>
        </w:tc>
        <w:tc>
          <w:tcPr>
            <w:tcW w:w="1077" w:type="dxa"/>
            <w:tcBorders>
              <w:top w:val="single" w:sz="4" w:space="0" w:color="auto"/>
              <w:bottom w:val="single" w:sz="4" w:space="0" w:color="auto"/>
            </w:tcBorders>
            <w:shd w:val="clear" w:color="auto" w:fill="auto"/>
            <w:noWrap/>
            <w:vAlign w:val="center"/>
            <w:hideMark/>
          </w:tcPr>
          <w:p w14:paraId="3404CF4F"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30 min</w:t>
            </w:r>
          </w:p>
        </w:tc>
        <w:tc>
          <w:tcPr>
            <w:tcW w:w="1077" w:type="dxa"/>
            <w:tcBorders>
              <w:top w:val="single" w:sz="4" w:space="0" w:color="auto"/>
              <w:bottom w:val="single" w:sz="4" w:space="0" w:color="auto"/>
            </w:tcBorders>
            <w:shd w:val="clear" w:color="auto" w:fill="auto"/>
            <w:noWrap/>
            <w:vAlign w:val="center"/>
            <w:hideMark/>
          </w:tcPr>
          <w:p w14:paraId="3791C724"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4 h</w:t>
            </w:r>
          </w:p>
        </w:tc>
        <w:tc>
          <w:tcPr>
            <w:tcW w:w="1077" w:type="dxa"/>
            <w:gridSpan w:val="2"/>
            <w:tcBorders>
              <w:top w:val="single" w:sz="4" w:space="0" w:color="auto"/>
              <w:bottom w:val="single" w:sz="4" w:space="0" w:color="auto"/>
            </w:tcBorders>
            <w:shd w:val="clear" w:color="auto" w:fill="auto"/>
            <w:noWrap/>
            <w:vAlign w:val="center"/>
            <w:hideMark/>
          </w:tcPr>
          <w:p w14:paraId="6E9187D1"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24 h</w:t>
            </w:r>
          </w:p>
        </w:tc>
        <w:tc>
          <w:tcPr>
            <w:tcW w:w="1077" w:type="dxa"/>
            <w:tcBorders>
              <w:top w:val="single" w:sz="4" w:space="0" w:color="auto"/>
              <w:bottom w:val="single" w:sz="4" w:space="0" w:color="auto"/>
            </w:tcBorders>
            <w:shd w:val="clear" w:color="auto" w:fill="auto"/>
            <w:noWrap/>
            <w:vAlign w:val="center"/>
            <w:hideMark/>
          </w:tcPr>
          <w:p w14:paraId="601451AA"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30 min</w:t>
            </w:r>
          </w:p>
        </w:tc>
        <w:tc>
          <w:tcPr>
            <w:tcW w:w="1077" w:type="dxa"/>
            <w:tcBorders>
              <w:top w:val="single" w:sz="4" w:space="0" w:color="auto"/>
              <w:bottom w:val="single" w:sz="4" w:space="0" w:color="auto"/>
            </w:tcBorders>
            <w:shd w:val="clear" w:color="auto" w:fill="auto"/>
            <w:noWrap/>
            <w:vAlign w:val="center"/>
            <w:hideMark/>
          </w:tcPr>
          <w:p w14:paraId="068DC073"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4 h</w:t>
            </w:r>
          </w:p>
        </w:tc>
        <w:tc>
          <w:tcPr>
            <w:tcW w:w="1066" w:type="dxa"/>
            <w:tcBorders>
              <w:top w:val="single" w:sz="4" w:space="0" w:color="auto"/>
              <w:bottom w:val="single" w:sz="4" w:space="0" w:color="auto"/>
            </w:tcBorders>
            <w:shd w:val="clear" w:color="auto" w:fill="auto"/>
            <w:noWrap/>
            <w:vAlign w:val="center"/>
            <w:hideMark/>
          </w:tcPr>
          <w:p w14:paraId="071CBF84" w14:textId="77777777" w:rsidR="004843D7" w:rsidRPr="00571545" w:rsidRDefault="004843D7" w:rsidP="004843D7">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24 h</w:t>
            </w:r>
          </w:p>
        </w:tc>
      </w:tr>
      <w:tr w:rsidR="004843D7" w:rsidRPr="00571545" w14:paraId="591953E7" w14:textId="77777777" w:rsidTr="009A42DA">
        <w:trPr>
          <w:trHeight w:val="283"/>
          <w:jc w:val="center"/>
        </w:trPr>
        <w:tc>
          <w:tcPr>
            <w:tcW w:w="1286" w:type="dxa"/>
            <w:tcBorders>
              <w:top w:val="single" w:sz="4" w:space="0" w:color="auto"/>
            </w:tcBorders>
            <w:shd w:val="clear" w:color="auto" w:fill="auto"/>
            <w:noWrap/>
            <w:vAlign w:val="center"/>
            <w:hideMark/>
          </w:tcPr>
          <w:p w14:paraId="18EBE630" w14:textId="77777777" w:rsidR="004843D7" w:rsidRPr="00571545" w:rsidRDefault="004843D7" w:rsidP="004843D7">
            <w:pPr>
              <w:spacing w:line="240" w:lineRule="auto"/>
              <w:jc w:val="left"/>
              <w:rPr>
                <w:rFonts w:cs="Calibri"/>
                <w:color w:val="auto"/>
                <w:sz w:val="18"/>
                <w:szCs w:val="18"/>
                <w:lang w:val="es-ES" w:eastAsia="es-ES"/>
              </w:rPr>
            </w:pPr>
            <w:r w:rsidRPr="00571545">
              <w:rPr>
                <w:rFonts w:cs="Calibri"/>
                <w:color w:val="auto"/>
                <w:sz w:val="18"/>
                <w:szCs w:val="18"/>
                <w:lang w:val="es-ES" w:eastAsia="es-ES"/>
              </w:rPr>
              <w:t>5-Fluorouracil</w:t>
            </w:r>
          </w:p>
        </w:tc>
        <w:tc>
          <w:tcPr>
            <w:tcW w:w="714" w:type="dxa"/>
            <w:tcBorders>
              <w:top w:val="single" w:sz="4" w:space="0" w:color="auto"/>
            </w:tcBorders>
          </w:tcPr>
          <w:p w14:paraId="2CEA6BD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-6.82</w:t>
            </w:r>
          </w:p>
        </w:tc>
        <w:tc>
          <w:tcPr>
            <w:tcW w:w="826" w:type="dxa"/>
            <w:tcBorders>
              <w:top w:val="single" w:sz="4" w:space="0" w:color="auto"/>
            </w:tcBorders>
          </w:tcPr>
          <w:p w14:paraId="383918D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-0.89</w:t>
            </w:r>
          </w:p>
        </w:tc>
        <w:tc>
          <w:tcPr>
            <w:tcW w:w="680" w:type="dxa"/>
            <w:tcBorders>
              <w:top w:val="single" w:sz="4" w:space="0" w:color="auto"/>
            </w:tcBorders>
          </w:tcPr>
          <w:p w14:paraId="017AA6E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7.86 </w:t>
            </w:r>
            <w:r w:rsidRPr="00571545">
              <w:rPr>
                <w:rFonts w:cs="Calibri"/>
                <w:color w:val="auto"/>
                <w:sz w:val="18"/>
                <w:szCs w:val="18"/>
                <w:vertAlign w:val="superscript"/>
                <w:lang w:val="es-ES" w:eastAsia="es-ES"/>
              </w:rPr>
              <w:t>a</w:t>
            </w:r>
          </w:p>
        </w:tc>
        <w:tc>
          <w:tcPr>
            <w:tcW w:w="1077" w:type="dxa"/>
            <w:tcBorders>
              <w:top w:val="single" w:sz="4" w:space="0" w:color="auto"/>
            </w:tcBorders>
            <w:shd w:val="clear" w:color="auto" w:fill="auto"/>
            <w:noWrap/>
            <w:vAlign w:val="center"/>
            <w:hideMark/>
          </w:tcPr>
          <w:p w14:paraId="5960D71C"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tcBorders>
              <w:top w:val="single" w:sz="4" w:space="0" w:color="auto"/>
            </w:tcBorders>
            <w:shd w:val="clear" w:color="auto" w:fill="auto"/>
            <w:noWrap/>
            <w:vAlign w:val="center"/>
            <w:hideMark/>
          </w:tcPr>
          <w:p w14:paraId="7329310D"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-5.77(±0.02)</w:t>
            </w:r>
          </w:p>
        </w:tc>
        <w:tc>
          <w:tcPr>
            <w:tcW w:w="1077" w:type="dxa"/>
            <w:gridSpan w:val="2"/>
            <w:tcBorders>
              <w:top w:val="single" w:sz="4" w:space="0" w:color="auto"/>
            </w:tcBorders>
            <w:shd w:val="clear" w:color="auto" w:fill="auto"/>
            <w:noWrap/>
            <w:vAlign w:val="center"/>
            <w:hideMark/>
          </w:tcPr>
          <w:p w14:paraId="0E4BA9E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-6.16(±0.03)</w:t>
            </w:r>
          </w:p>
        </w:tc>
        <w:tc>
          <w:tcPr>
            <w:tcW w:w="1077" w:type="dxa"/>
            <w:tcBorders>
              <w:top w:val="single" w:sz="4" w:space="0" w:color="auto"/>
            </w:tcBorders>
            <w:shd w:val="clear" w:color="auto" w:fill="auto"/>
            <w:noWrap/>
            <w:vAlign w:val="center"/>
            <w:hideMark/>
          </w:tcPr>
          <w:p w14:paraId="07C19ED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tcBorders>
              <w:top w:val="single" w:sz="4" w:space="0" w:color="auto"/>
            </w:tcBorders>
            <w:shd w:val="clear" w:color="auto" w:fill="auto"/>
            <w:noWrap/>
            <w:vAlign w:val="center"/>
            <w:hideMark/>
          </w:tcPr>
          <w:p w14:paraId="29F87AF9"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-6.47(±0.22)</w:t>
            </w:r>
          </w:p>
        </w:tc>
        <w:tc>
          <w:tcPr>
            <w:tcW w:w="1066" w:type="dxa"/>
            <w:tcBorders>
              <w:top w:val="single" w:sz="4" w:space="0" w:color="auto"/>
            </w:tcBorders>
            <w:shd w:val="clear" w:color="auto" w:fill="auto"/>
            <w:noWrap/>
            <w:vAlign w:val="center"/>
            <w:hideMark/>
          </w:tcPr>
          <w:p w14:paraId="3C92718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-6.07(±0.06)</w:t>
            </w:r>
          </w:p>
        </w:tc>
      </w:tr>
      <w:tr w:rsidR="004843D7" w:rsidRPr="00571545" w14:paraId="070E1819" w14:textId="77777777" w:rsidTr="009A42DA">
        <w:trPr>
          <w:trHeight w:val="283"/>
          <w:jc w:val="center"/>
        </w:trPr>
        <w:tc>
          <w:tcPr>
            <w:tcW w:w="1286" w:type="dxa"/>
            <w:shd w:val="clear" w:color="auto" w:fill="auto"/>
            <w:noWrap/>
            <w:vAlign w:val="center"/>
            <w:hideMark/>
          </w:tcPr>
          <w:p w14:paraId="3BB4B04A"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Aminopyrine</w:t>
            </w:r>
            <w:proofErr w:type="spellEnd"/>
          </w:p>
        </w:tc>
        <w:tc>
          <w:tcPr>
            <w:tcW w:w="714" w:type="dxa"/>
          </w:tcPr>
          <w:p w14:paraId="1DDBEBE3"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-6.55</w:t>
            </w:r>
          </w:p>
        </w:tc>
        <w:tc>
          <w:tcPr>
            <w:tcW w:w="826" w:type="dxa"/>
          </w:tcPr>
          <w:p w14:paraId="18F5379D"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0.80</w:t>
            </w:r>
          </w:p>
        </w:tc>
        <w:tc>
          <w:tcPr>
            <w:tcW w:w="680" w:type="dxa"/>
          </w:tcPr>
          <w:p w14:paraId="126334D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5.00 </w:t>
            </w:r>
            <w:r w:rsidRPr="00571545">
              <w:rPr>
                <w:rFonts w:cs="Calibri"/>
                <w:color w:val="auto"/>
                <w:sz w:val="18"/>
                <w:szCs w:val="18"/>
                <w:vertAlign w:val="superscript"/>
                <w:lang w:val="es-ES" w:eastAsia="es-ES"/>
              </w:rPr>
              <w:t>b</w:t>
            </w:r>
          </w:p>
        </w:tc>
        <w:tc>
          <w:tcPr>
            <w:tcW w:w="1077" w:type="dxa"/>
            <w:shd w:val="clear" w:color="auto" w:fill="auto"/>
            <w:noWrap/>
            <w:vAlign w:val="center"/>
            <w:hideMark/>
          </w:tcPr>
          <w:p w14:paraId="02EED56E"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-5.88(±0.07)</w:t>
            </w:r>
          </w:p>
        </w:tc>
        <w:tc>
          <w:tcPr>
            <w:tcW w:w="1077" w:type="dxa"/>
            <w:shd w:val="clear" w:color="auto" w:fill="auto"/>
            <w:noWrap/>
            <w:vAlign w:val="center"/>
            <w:hideMark/>
          </w:tcPr>
          <w:p w14:paraId="1F7E8EB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-5.65(±0.01)</w:t>
            </w:r>
          </w:p>
        </w:tc>
        <w:tc>
          <w:tcPr>
            <w:tcW w:w="1077" w:type="dxa"/>
            <w:gridSpan w:val="2"/>
            <w:shd w:val="clear" w:color="auto" w:fill="auto"/>
            <w:noWrap/>
            <w:vAlign w:val="center"/>
            <w:hideMark/>
          </w:tcPr>
          <w:p w14:paraId="5535CD5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-5.17(±0.06)</w:t>
            </w:r>
          </w:p>
        </w:tc>
        <w:tc>
          <w:tcPr>
            <w:tcW w:w="1077" w:type="dxa"/>
            <w:shd w:val="clear" w:color="auto" w:fill="auto"/>
            <w:noWrap/>
            <w:vAlign w:val="center"/>
            <w:hideMark/>
          </w:tcPr>
          <w:p w14:paraId="0C133855"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-5.79(±0.06)</w:t>
            </w:r>
          </w:p>
        </w:tc>
        <w:tc>
          <w:tcPr>
            <w:tcW w:w="1077" w:type="dxa"/>
            <w:shd w:val="clear" w:color="auto" w:fill="auto"/>
            <w:noWrap/>
            <w:vAlign w:val="center"/>
            <w:hideMark/>
          </w:tcPr>
          <w:p w14:paraId="5864D16B"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-5.46(±0.06)</w:t>
            </w:r>
          </w:p>
        </w:tc>
        <w:tc>
          <w:tcPr>
            <w:tcW w:w="1066" w:type="dxa"/>
            <w:shd w:val="clear" w:color="auto" w:fill="auto"/>
            <w:noWrap/>
            <w:vAlign w:val="center"/>
            <w:hideMark/>
          </w:tcPr>
          <w:p w14:paraId="2EC2ED15"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-5.22(±0.02)</w:t>
            </w:r>
          </w:p>
        </w:tc>
      </w:tr>
      <w:tr w:rsidR="004843D7" w:rsidRPr="00571545" w14:paraId="00F10863" w14:textId="77777777" w:rsidTr="009A42DA">
        <w:trPr>
          <w:trHeight w:val="283"/>
          <w:jc w:val="center"/>
        </w:trPr>
        <w:tc>
          <w:tcPr>
            <w:tcW w:w="1286" w:type="dxa"/>
            <w:shd w:val="clear" w:color="auto" w:fill="auto"/>
            <w:noWrap/>
            <w:vAlign w:val="center"/>
            <w:hideMark/>
          </w:tcPr>
          <w:p w14:paraId="42BF25EA"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Digitoxin</w:t>
            </w:r>
            <w:proofErr w:type="spellEnd"/>
          </w:p>
        </w:tc>
        <w:tc>
          <w:tcPr>
            <w:tcW w:w="714" w:type="dxa"/>
          </w:tcPr>
          <w:p w14:paraId="3A1E49A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-8.15</w:t>
            </w:r>
          </w:p>
        </w:tc>
        <w:tc>
          <w:tcPr>
            <w:tcW w:w="826" w:type="dxa"/>
          </w:tcPr>
          <w:p w14:paraId="36FBE4EE"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2.83</w:t>
            </w:r>
          </w:p>
        </w:tc>
        <w:tc>
          <w:tcPr>
            <w:tcW w:w="680" w:type="dxa"/>
          </w:tcPr>
          <w:p w14:paraId="788A5BD2" w14:textId="77777777" w:rsidR="004843D7" w:rsidRPr="00571545" w:rsidRDefault="004843D7" w:rsidP="004843D7">
            <w:pPr>
              <w:spacing w:line="240" w:lineRule="auto"/>
              <w:jc w:val="center"/>
              <w:rPr>
                <w:rFonts w:cs="Calibri"/>
                <w:color w:val="auto"/>
                <w:sz w:val="18"/>
                <w:szCs w:val="18"/>
                <w:lang w:val="es-ES" w:eastAsia="es-ES"/>
              </w:rPr>
            </w:pPr>
          </w:p>
        </w:tc>
        <w:tc>
          <w:tcPr>
            <w:tcW w:w="1077" w:type="dxa"/>
            <w:shd w:val="clear" w:color="auto" w:fill="auto"/>
            <w:noWrap/>
            <w:vAlign w:val="center"/>
            <w:hideMark/>
          </w:tcPr>
          <w:p w14:paraId="6EF16D9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3F052B4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gridSpan w:val="2"/>
            <w:shd w:val="clear" w:color="auto" w:fill="auto"/>
            <w:noWrap/>
            <w:vAlign w:val="center"/>
            <w:hideMark/>
          </w:tcPr>
          <w:p w14:paraId="4459B69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-6.42(±0.27)</w:t>
            </w:r>
          </w:p>
        </w:tc>
        <w:tc>
          <w:tcPr>
            <w:tcW w:w="1077" w:type="dxa"/>
            <w:shd w:val="clear" w:color="auto" w:fill="auto"/>
            <w:noWrap/>
            <w:vAlign w:val="center"/>
            <w:hideMark/>
          </w:tcPr>
          <w:p w14:paraId="40BE34AA"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5BF742FC"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66" w:type="dxa"/>
            <w:shd w:val="clear" w:color="auto" w:fill="auto"/>
            <w:noWrap/>
            <w:vAlign w:val="center"/>
            <w:hideMark/>
          </w:tcPr>
          <w:p w14:paraId="37D1A699"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-6.34(±0.13)</w:t>
            </w:r>
          </w:p>
        </w:tc>
      </w:tr>
      <w:tr w:rsidR="004843D7" w:rsidRPr="00571545" w14:paraId="5397C1D3" w14:textId="77777777" w:rsidTr="009A42DA">
        <w:trPr>
          <w:trHeight w:val="283"/>
          <w:jc w:val="center"/>
        </w:trPr>
        <w:tc>
          <w:tcPr>
            <w:tcW w:w="1286" w:type="dxa"/>
            <w:shd w:val="clear" w:color="auto" w:fill="auto"/>
            <w:noWrap/>
            <w:vAlign w:val="center"/>
            <w:hideMark/>
          </w:tcPr>
          <w:p w14:paraId="39DB7869"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Flurbiprofen</w:t>
            </w:r>
            <w:proofErr w:type="spellEnd"/>
          </w:p>
        </w:tc>
        <w:tc>
          <w:tcPr>
            <w:tcW w:w="714" w:type="dxa"/>
          </w:tcPr>
          <w:p w14:paraId="33A721B3"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-4.72</w:t>
            </w:r>
          </w:p>
        </w:tc>
        <w:tc>
          <w:tcPr>
            <w:tcW w:w="826" w:type="dxa"/>
          </w:tcPr>
          <w:p w14:paraId="2DC48EE5"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4.16</w:t>
            </w:r>
          </w:p>
        </w:tc>
        <w:tc>
          <w:tcPr>
            <w:tcW w:w="680" w:type="dxa"/>
          </w:tcPr>
          <w:p w14:paraId="68AAA9E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4.19 </w:t>
            </w:r>
            <w:r w:rsidRPr="00571545">
              <w:rPr>
                <w:rFonts w:cs="Calibri"/>
                <w:color w:val="auto"/>
                <w:sz w:val="18"/>
                <w:szCs w:val="18"/>
                <w:vertAlign w:val="superscript"/>
                <w:lang w:val="es-ES" w:eastAsia="es-ES"/>
              </w:rPr>
              <w:t>c</w:t>
            </w:r>
          </w:p>
        </w:tc>
        <w:tc>
          <w:tcPr>
            <w:tcW w:w="1077" w:type="dxa"/>
            <w:shd w:val="clear" w:color="auto" w:fill="auto"/>
            <w:noWrap/>
            <w:vAlign w:val="center"/>
            <w:hideMark/>
          </w:tcPr>
          <w:p w14:paraId="7643E989"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-2.98(±0.13)</w:t>
            </w:r>
          </w:p>
        </w:tc>
        <w:tc>
          <w:tcPr>
            <w:tcW w:w="1077" w:type="dxa"/>
            <w:shd w:val="clear" w:color="auto" w:fill="auto"/>
            <w:noWrap/>
            <w:vAlign w:val="center"/>
            <w:hideMark/>
          </w:tcPr>
          <w:p w14:paraId="266333F1"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-3.69(±0.02)</w:t>
            </w:r>
          </w:p>
        </w:tc>
        <w:tc>
          <w:tcPr>
            <w:tcW w:w="1077" w:type="dxa"/>
            <w:gridSpan w:val="2"/>
            <w:shd w:val="clear" w:color="auto" w:fill="auto"/>
            <w:noWrap/>
            <w:vAlign w:val="center"/>
            <w:hideMark/>
          </w:tcPr>
          <w:p w14:paraId="46CC721A"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2C42293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-3.54(±0.06)</w:t>
            </w:r>
          </w:p>
        </w:tc>
        <w:tc>
          <w:tcPr>
            <w:tcW w:w="1077" w:type="dxa"/>
            <w:shd w:val="clear" w:color="auto" w:fill="auto"/>
            <w:noWrap/>
            <w:vAlign w:val="center"/>
            <w:hideMark/>
          </w:tcPr>
          <w:p w14:paraId="0133C753"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-3.85(±0.03)</w:t>
            </w:r>
          </w:p>
        </w:tc>
        <w:tc>
          <w:tcPr>
            <w:tcW w:w="1066" w:type="dxa"/>
            <w:shd w:val="clear" w:color="auto" w:fill="auto"/>
            <w:noWrap/>
            <w:vAlign w:val="center"/>
            <w:hideMark/>
          </w:tcPr>
          <w:p w14:paraId="3A72724D"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r>
      <w:tr w:rsidR="004843D7" w:rsidRPr="00571545" w14:paraId="39AD4176" w14:textId="77777777" w:rsidTr="009A42DA">
        <w:trPr>
          <w:trHeight w:val="283"/>
          <w:jc w:val="center"/>
        </w:trPr>
        <w:tc>
          <w:tcPr>
            <w:tcW w:w="1286" w:type="dxa"/>
            <w:shd w:val="clear" w:color="auto" w:fill="auto"/>
            <w:noWrap/>
            <w:vAlign w:val="center"/>
            <w:hideMark/>
          </w:tcPr>
          <w:p w14:paraId="7FF39663"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Griseofulvin</w:t>
            </w:r>
            <w:proofErr w:type="spellEnd"/>
          </w:p>
        </w:tc>
        <w:tc>
          <w:tcPr>
            <w:tcW w:w="714" w:type="dxa"/>
          </w:tcPr>
          <w:p w14:paraId="3EDD52E5"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-6.44</w:t>
            </w:r>
          </w:p>
        </w:tc>
        <w:tc>
          <w:tcPr>
            <w:tcW w:w="826" w:type="dxa"/>
          </w:tcPr>
          <w:p w14:paraId="4BC1E97E"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2.18</w:t>
            </w:r>
          </w:p>
        </w:tc>
        <w:tc>
          <w:tcPr>
            <w:tcW w:w="680" w:type="dxa"/>
          </w:tcPr>
          <w:p w14:paraId="6927597E" w14:textId="77777777" w:rsidR="004843D7" w:rsidRPr="00571545" w:rsidRDefault="004843D7" w:rsidP="004843D7">
            <w:pPr>
              <w:spacing w:line="240" w:lineRule="auto"/>
              <w:jc w:val="center"/>
              <w:rPr>
                <w:rFonts w:cs="Calibri"/>
                <w:color w:val="auto"/>
                <w:sz w:val="18"/>
                <w:szCs w:val="18"/>
                <w:lang w:val="es-ES" w:eastAsia="es-ES"/>
              </w:rPr>
            </w:pPr>
          </w:p>
        </w:tc>
        <w:tc>
          <w:tcPr>
            <w:tcW w:w="1077" w:type="dxa"/>
            <w:shd w:val="clear" w:color="auto" w:fill="auto"/>
            <w:noWrap/>
            <w:vAlign w:val="center"/>
            <w:hideMark/>
          </w:tcPr>
          <w:p w14:paraId="25A124F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-5.61(±0.01)</w:t>
            </w:r>
          </w:p>
        </w:tc>
        <w:tc>
          <w:tcPr>
            <w:tcW w:w="1077" w:type="dxa"/>
            <w:shd w:val="clear" w:color="auto" w:fill="auto"/>
            <w:noWrap/>
            <w:vAlign w:val="center"/>
            <w:hideMark/>
          </w:tcPr>
          <w:p w14:paraId="32150588"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-5.25(±0.10)</w:t>
            </w:r>
          </w:p>
        </w:tc>
        <w:tc>
          <w:tcPr>
            <w:tcW w:w="1077" w:type="dxa"/>
            <w:gridSpan w:val="2"/>
            <w:shd w:val="clear" w:color="auto" w:fill="auto"/>
            <w:noWrap/>
            <w:vAlign w:val="center"/>
            <w:hideMark/>
          </w:tcPr>
          <w:p w14:paraId="6B82036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-5.12(±0.02)</w:t>
            </w:r>
          </w:p>
        </w:tc>
        <w:tc>
          <w:tcPr>
            <w:tcW w:w="1077" w:type="dxa"/>
            <w:shd w:val="clear" w:color="auto" w:fill="auto"/>
            <w:noWrap/>
            <w:vAlign w:val="center"/>
            <w:hideMark/>
          </w:tcPr>
          <w:p w14:paraId="75C96DD1"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-5.65(±0.05)</w:t>
            </w:r>
          </w:p>
        </w:tc>
        <w:tc>
          <w:tcPr>
            <w:tcW w:w="1077" w:type="dxa"/>
            <w:shd w:val="clear" w:color="auto" w:fill="auto"/>
            <w:noWrap/>
            <w:vAlign w:val="center"/>
            <w:hideMark/>
          </w:tcPr>
          <w:p w14:paraId="4B86DE3D"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-5.33(±0.07)</w:t>
            </w:r>
          </w:p>
        </w:tc>
        <w:tc>
          <w:tcPr>
            <w:tcW w:w="1066" w:type="dxa"/>
            <w:shd w:val="clear" w:color="auto" w:fill="auto"/>
            <w:noWrap/>
            <w:vAlign w:val="center"/>
            <w:hideMark/>
          </w:tcPr>
          <w:p w14:paraId="1008B8FB"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-5.20(±0.05)</w:t>
            </w:r>
          </w:p>
        </w:tc>
      </w:tr>
      <w:tr w:rsidR="004843D7" w:rsidRPr="00571545" w14:paraId="7C8B4CE2" w14:textId="77777777" w:rsidTr="009A42DA">
        <w:trPr>
          <w:trHeight w:val="283"/>
          <w:jc w:val="center"/>
        </w:trPr>
        <w:tc>
          <w:tcPr>
            <w:tcW w:w="1286" w:type="dxa"/>
            <w:shd w:val="clear" w:color="auto" w:fill="auto"/>
            <w:noWrap/>
            <w:vAlign w:val="center"/>
            <w:hideMark/>
          </w:tcPr>
          <w:p w14:paraId="46B52242"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Hydrocortisone</w:t>
            </w:r>
            <w:proofErr w:type="spellEnd"/>
          </w:p>
        </w:tc>
        <w:tc>
          <w:tcPr>
            <w:tcW w:w="714" w:type="dxa"/>
          </w:tcPr>
          <w:p w14:paraId="2DF0286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-7.22</w:t>
            </w:r>
          </w:p>
        </w:tc>
        <w:tc>
          <w:tcPr>
            <w:tcW w:w="826" w:type="dxa"/>
          </w:tcPr>
          <w:p w14:paraId="7149C20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1.61</w:t>
            </w:r>
          </w:p>
        </w:tc>
        <w:tc>
          <w:tcPr>
            <w:tcW w:w="680" w:type="dxa"/>
          </w:tcPr>
          <w:p w14:paraId="35A4F6CF" w14:textId="77777777" w:rsidR="004843D7" w:rsidRPr="00571545" w:rsidRDefault="004843D7" w:rsidP="004843D7">
            <w:pPr>
              <w:spacing w:line="240" w:lineRule="auto"/>
              <w:jc w:val="center"/>
              <w:rPr>
                <w:rFonts w:cs="Calibri"/>
                <w:color w:val="auto"/>
                <w:sz w:val="18"/>
                <w:szCs w:val="18"/>
                <w:lang w:val="es-ES" w:eastAsia="es-ES"/>
              </w:rPr>
            </w:pPr>
          </w:p>
        </w:tc>
        <w:tc>
          <w:tcPr>
            <w:tcW w:w="1077" w:type="dxa"/>
            <w:shd w:val="clear" w:color="auto" w:fill="auto"/>
            <w:noWrap/>
            <w:vAlign w:val="center"/>
            <w:hideMark/>
          </w:tcPr>
          <w:p w14:paraId="149D377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6E66C3D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-6.13(±0.03)</w:t>
            </w:r>
          </w:p>
        </w:tc>
        <w:tc>
          <w:tcPr>
            <w:tcW w:w="1077" w:type="dxa"/>
            <w:gridSpan w:val="2"/>
            <w:shd w:val="clear" w:color="auto" w:fill="auto"/>
            <w:noWrap/>
            <w:vAlign w:val="center"/>
            <w:hideMark/>
          </w:tcPr>
          <w:p w14:paraId="77753FD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-6.04(±0.07)</w:t>
            </w:r>
          </w:p>
        </w:tc>
        <w:tc>
          <w:tcPr>
            <w:tcW w:w="1077" w:type="dxa"/>
            <w:shd w:val="clear" w:color="auto" w:fill="auto"/>
            <w:noWrap/>
            <w:vAlign w:val="center"/>
            <w:hideMark/>
          </w:tcPr>
          <w:p w14:paraId="681E0DDD"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6406C88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-6.30(±0.18)</w:t>
            </w:r>
          </w:p>
        </w:tc>
        <w:tc>
          <w:tcPr>
            <w:tcW w:w="1066" w:type="dxa"/>
            <w:shd w:val="clear" w:color="auto" w:fill="auto"/>
            <w:noWrap/>
            <w:vAlign w:val="center"/>
            <w:hideMark/>
          </w:tcPr>
          <w:p w14:paraId="7346C1F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-6.14(±0.08)</w:t>
            </w:r>
          </w:p>
        </w:tc>
      </w:tr>
      <w:tr w:rsidR="004843D7" w:rsidRPr="00571545" w14:paraId="75FF1881" w14:textId="77777777" w:rsidTr="009A42DA">
        <w:trPr>
          <w:trHeight w:val="283"/>
          <w:jc w:val="center"/>
        </w:trPr>
        <w:tc>
          <w:tcPr>
            <w:tcW w:w="1286" w:type="dxa"/>
            <w:shd w:val="clear" w:color="auto" w:fill="auto"/>
            <w:noWrap/>
            <w:vAlign w:val="center"/>
            <w:hideMark/>
          </w:tcPr>
          <w:p w14:paraId="07117091"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Ibuprofen</w:t>
            </w:r>
            <w:proofErr w:type="spellEnd"/>
          </w:p>
        </w:tc>
        <w:tc>
          <w:tcPr>
            <w:tcW w:w="714" w:type="dxa"/>
          </w:tcPr>
          <w:p w14:paraId="431824E5"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-4.58</w:t>
            </w:r>
          </w:p>
        </w:tc>
        <w:tc>
          <w:tcPr>
            <w:tcW w:w="826" w:type="dxa"/>
          </w:tcPr>
          <w:p w14:paraId="104C443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3.50</w:t>
            </w:r>
          </w:p>
        </w:tc>
        <w:tc>
          <w:tcPr>
            <w:tcW w:w="680" w:type="dxa"/>
          </w:tcPr>
          <w:p w14:paraId="58E13EA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4.43 </w:t>
            </w:r>
            <w:r w:rsidRPr="00571545">
              <w:rPr>
                <w:rFonts w:cs="Calibri"/>
                <w:color w:val="auto"/>
                <w:sz w:val="18"/>
                <w:szCs w:val="18"/>
                <w:vertAlign w:val="superscript"/>
                <w:lang w:val="es-ES" w:eastAsia="es-ES"/>
              </w:rPr>
              <w:t>d</w:t>
            </w:r>
          </w:p>
        </w:tc>
        <w:tc>
          <w:tcPr>
            <w:tcW w:w="1077" w:type="dxa"/>
            <w:shd w:val="clear" w:color="auto" w:fill="auto"/>
            <w:noWrap/>
            <w:vAlign w:val="center"/>
            <w:hideMark/>
          </w:tcPr>
          <w:p w14:paraId="542D7C9C"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-2.71(±0.04)</w:t>
            </w:r>
          </w:p>
        </w:tc>
        <w:tc>
          <w:tcPr>
            <w:tcW w:w="1077" w:type="dxa"/>
            <w:shd w:val="clear" w:color="auto" w:fill="auto"/>
            <w:noWrap/>
            <w:vAlign w:val="center"/>
            <w:hideMark/>
          </w:tcPr>
          <w:p w14:paraId="701254B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-3.61(±0.05)</w:t>
            </w:r>
          </w:p>
        </w:tc>
        <w:tc>
          <w:tcPr>
            <w:tcW w:w="1077" w:type="dxa"/>
            <w:gridSpan w:val="2"/>
            <w:shd w:val="clear" w:color="auto" w:fill="auto"/>
            <w:noWrap/>
            <w:vAlign w:val="center"/>
            <w:hideMark/>
          </w:tcPr>
          <w:p w14:paraId="0A4A08B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553C37F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-3.59(±0.08)</w:t>
            </w:r>
          </w:p>
        </w:tc>
        <w:tc>
          <w:tcPr>
            <w:tcW w:w="1077" w:type="dxa"/>
            <w:shd w:val="clear" w:color="auto" w:fill="auto"/>
            <w:noWrap/>
            <w:vAlign w:val="center"/>
            <w:hideMark/>
          </w:tcPr>
          <w:p w14:paraId="023B7AB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-3.65(±0.04)</w:t>
            </w:r>
          </w:p>
        </w:tc>
        <w:tc>
          <w:tcPr>
            <w:tcW w:w="1066" w:type="dxa"/>
            <w:shd w:val="clear" w:color="auto" w:fill="auto"/>
            <w:noWrap/>
            <w:vAlign w:val="center"/>
            <w:hideMark/>
          </w:tcPr>
          <w:p w14:paraId="3EDE6CC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r>
      <w:tr w:rsidR="004843D7" w:rsidRPr="00571545" w14:paraId="511B9113" w14:textId="77777777" w:rsidTr="009A42DA">
        <w:trPr>
          <w:trHeight w:val="283"/>
          <w:jc w:val="center"/>
        </w:trPr>
        <w:tc>
          <w:tcPr>
            <w:tcW w:w="1286" w:type="dxa"/>
            <w:shd w:val="clear" w:color="auto" w:fill="auto"/>
            <w:noWrap/>
            <w:vAlign w:val="center"/>
            <w:hideMark/>
          </w:tcPr>
          <w:p w14:paraId="565C0F63"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Naproxen</w:t>
            </w:r>
            <w:proofErr w:type="spellEnd"/>
          </w:p>
        </w:tc>
        <w:tc>
          <w:tcPr>
            <w:tcW w:w="714" w:type="dxa"/>
          </w:tcPr>
          <w:p w14:paraId="24C732D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-4.97</w:t>
            </w:r>
          </w:p>
        </w:tc>
        <w:tc>
          <w:tcPr>
            <w:tcW w:w="826" w:type="dxa"/>
          </w:tcPr>
          <w:p w14:paraId="08F62ED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3.34</w:t>
            </w:r>
          </w:p>
        </w:tc>
        <w:tc>
          <w:tcPr>
            <w:tcW w:w="680" w:type="dxa"/>
          </w:tcPr>
          <w:p w14:paraId="676F7B3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4.28 </w:t>
            </w:r>
            <w:r w:rsidRPr="00571545">
              <w:rPr>
                <w:rFonts w:cs="Calibri"/>
                <w:color w:val="auto"/>
                <w:sz w:val="18"/>
                <w:szCs w:val="18"/>
                <w:vertAlign w:val="superscript"/>
                <w:lang w:val="es-ES" w:eastAsia="es-ES"/>
              </w:rPr>
              <w:t>e</w:t>
            </w:r>
          </w:p>
        </w:tc>
        <w:tc>
          <w:tcPr>
            <w:tcW w:w="1077" w:type="dxa"/>
            <w:shd w:val="clear" w:color="auto" w:fill="auto"/>
            <w:noWrap/>
            <w:vAlign w:val="center"/>
            <w:hideMark/>
          </w:tcPr>
          <w:p w14:paraId="3AD6E50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-3.96(±0.12)</w:t>
            </w:r>
          </w:p>
        </w:tc>
        <w:tc>
          <w:tcPr>
            <w:tcW w:w="1077" w:type="dxa"/>
            <w:shd w:val="clear" w:color="auto" w:fill="auto"/>
            <w:noWrap/>
            <w:vAlign w:val="center"/>
            <w:hideMark/>
          </w:tcPr>
          <w:p w14:paraId="611CA3D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-4.19(±0.02)</w:t>
            </w:r>
          </w:p>
        </w:tc>
        <w:tc>
          <w:tcPr>
            <w:tcW w:w="1077" w:type="dxa"/>
            <w:gridSpan w:val="2"/>
            <w:shd w:val="clear" w:color="auto" w:fill="auto"/>
            <w:noWrap/>
            <w:vAlign w:val="center"/>
            <w:hideMark/>
          </w:tcPr>
          <w:p w14:paraId="22C663B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c>
          <w:tcPr>
            <w:tcW w:w="1077" w:type="dxa"/>
            <w:shd w:val="clear" w:color="auto" w:fill="auto"/>
            <w:noWrap/>
            <w:vAlign w:val="center"/>
            <w:hideMark/>
          </w:tcPr>
          <w:p w14:paraId="2FEB6F6B"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-3.99(±0.08)</w:t>
            </w:r>
          </w:p>
        </w:tc>
        <w:tc>
          <w:tcPr>
            <w:tcW w:w="1077" w:type="dxa"/>
            <w:shd w:val="clear" w:color="auto" w:fill="auto"/>
            <w:noWrap/>
            <w:vAlign w:val="center"/>
            <w:hideMark/>
          </w:tcPr>
          <w:p w14:paraId="761E27D8"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-4.24(±0.06)</w:t>
            </w:r>
          </w:p>
        </w:tc>
        <w:tc>
          <w:tcPr>
            <w:tcW w:w="1066" w:type="dxa"/>
            <w:shd w:val="clear" w:color="auto" w:fill="auto"/>
            <w:noWrap/>
            <w:vAlign w:val="center"/>
            <w:hideMark/>
          </w:tcPr>
          <w:p w14:paraId="7DEB90B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w:t>
            </w:r>
          </w:p>
        </w:tc>
      </w:tr>
      <w:tr w:rsidR="004843D7" w:rsidRPr="00571545" w14:paraId="38A1ED90" w14:textId="77777777" w:rsidTr="009A42DA">
        <w:trPr>
          <w:trHeight w:val="283"/>
          <w:jc w:val="center"/>
        </w:trPr>
        <w:tc>
          <w:tcPr>
            <w:tcW w:w="1286" w:type="dxa"/>
            <w:tcBorders>
              <w:bottom w:val="single" w:sz="4" w:space="0" w:color="auto"/>
            </w:tcBorders>
            <w:shd w:val="clear" w:color="auto" w:fill="auto"/>
            <w:noWrap/>
            <w:vAlign w:val="center"/>
            <w:hideMark/>
          </w:tcPr>
          <w:p w14:paraId="29996297" w14:textId="77777777" w:rsidR="004843D7" w:rsidRPr="00571545" w:rsidRDefault="004843D7" w:rsidP="004843D7">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Progesterone</w:t>
            </w:r>
            <w:proofErr w:type="spellEnd"/>
          </w:p>
        </w:tc>
        <w:tc>
          <w:tcPr>
            <w:tcW w:w="714" w:type="dxa"/>
            <w:tcBorders>
              <w:bottom w:val="single" w:sz="4" w:space="0" w:color="auto"/>
            </w:tcBorders>
          </w:tcPr>
          <w:p w14:paraId="7C6808C7"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-4.90</w:t>
            </w:r>
          </w:p>
        </w:tc>
        <w:tc>
          <w:tcPr>
            <w:tcW w:w="826" w:type="dxa"/>
            <w:tcBorders>
              <w:bottom w:val="single" w:sz="4" w:space="0" w:color="auto"/>
            </w:tcBorders>
          </w:tcPr>
          <w:p w14:paraId="3E25B6E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3.87</w:t>
            </w:r>
          </w:p>
        </w:tc>
        <w:tc>
          <w:tcPr>
            <w:tcW w:w="680" w:type="dxa"/>
            <w:tcBorders>
              <w:bottom w:val="single" w:sz="4" w:space="0" w:color="auto"/>
            </w:tcBorders>
          </w:tcPr>
          <w:p w14:paraId="47E67217" w14:textId="77777777" w:rsidR="004843D7" w:rsidRPr="00571545" w:rsidRDefault="004843D7" w:rsidP="004843D7">
            <w:pPr>
              <w:spacing w:line="240" w:lineRule="auto"/>
              <w:jc w:val="center"/>
              <w:rPr>
                <w:rFonts w:cs="Calibri"/>
                <w:color w:val="auto"/>
                <w:sz w:val="18"/>
                <w:szCs w:val="18"/>
                <w:lang w:val="es-ES" w:eastAsia="es-ES"/>
              </w:rPr>
            </w:pPr>
          </w:p>
        </w:tc>
        <w:tc>
          <w:tcPr>
            <w:tcW w:w="1077" w:type="dxa"/>
            <w:tcBorders>
              <w:bottom w:val="single" w:sz="4" w:space="0" w:color="auto"/>
            </w:tcBorders>
            <w:shd w:val="clear" w:color="auto" w:fill="auto"/>
            <w:noWrap/>
            <w:vAlign w:val="center"/>
            <w:hideMark/>
          </w:tcPr>
          <w:p w14:paraId="6EB3C2B4"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-3.25(±0.25)</w:t>
            </w:r>
          </w:p>
        </w:tc>
        <w:tc>
          <w:tcPr>
            <w:tcW w:w="1077" w:type="dxa"/>
            <w:tcBorders>
              <w:bottom w:val="single" w:sz="4" w:space="0" w:color="auto"/>
            </w:tcBorders>
            <w:shd w:val="clear" w:color="auto" w:fill="auto"/>
            <w:noWrap/>
            <w:vAlign w:val="center"/>
            <w:hideMark/>
          </w:tcPr>
          <w:p w14:paraId="0141783E"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-4.11(±0.10)</w:t>
            </w:r>
          </w:p>
        </w:tc>
        <w:tc>
          <w:tcPr>
            <w:tcW w:w="1077" w:type="dxa"/>
            <w:gridSpan w:val="2"/>
            <w:tcBorders>
              <w:bottom w:val="single" w:sz="4" w:space="0" w:color="auto"/>
            </w:tcBorders>
            <w:shd w:val="clear" w:color="auto" w:fill="auto"/>
            <w:noWrap/>
            <w:vAlign w:val="center"/>
            <w:hideMark/>
          </w:tcPr>
          <w:p w14:paraId="47AE97F2"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-4.59(±0.15)</w:t>
            </w:r>
          </w:p>
        </w:tc>
        <w:tc>
          <w:tcPr>
            <w:tcW w:w="1077" w:type="dxa"/>
            <w:tcBorders>
              <w:bottom w:val="single" w:sz="4" w:space="0" w:color="auto"/>
            </w:tcBorders>
            <w:shd w:val="clear" w:color="auto" w:fill="auto"/>
            <w:noWrap/>
            <w:vAlign w:val="center"/>
            <w:hideMark/>
          </w:tcPr>
          <w:p w14:paraId="10080C50"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-4.81(±0.06)</w:t>
            </w:r>
          </w:p>
        </w:tc>
        <w:tc>
          <w:tcPr>
            <w:tcW w:w="1077" w:type="dxa"/>
            <w:tcBorders>
              <w:bottom w:val="single" w:sz="4" w:space="0" w:color="auto"/>
            </w:tcBorders>
            <w:shd w:val="clear" w:color="auto" w:fill="auto"/>
            <w:noWrap/>
            <w:vAlign w:val="center"/>
            <w:hideMark/>
          </w:tcPr>
          <w:p w14:paraId="1FCD1F7F"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-4.88(±0.22)</w:t>
            </w:r>
          </w:p>
        </w:tc>
        <w:tc>
          <w:tcPr>
            <w:tcW w:w="1066" w:type="dxa"/>
            <w:tcBorders>
              <w:bottom w:val="single" w:sz="4" w:space="0" w:color="auto"/>
            </w:tcBorders>
            <w:shd w:val="clear" w:color="auto" w:fill="auto"/>
            <w:noWrap/>
            <w:vAlign w:val="center"/>
            <w:hideMark/>
          </w:tcPr>
          <w:p w14:paraId="1B3E1B16" w14:textId="77777777" w:rsidR="004843D7" w:rsidRPr="00571545" w:rsidRDefault="004843D7" w:rsidP="004843D7">
            <w:pPr>
              <w:spacing w:line="240" w:lineRule="auto"/>
              <w:jc w:val="center"/>
              <w:rPr>
                <w:rFonts w:cs="Calibri"/>
                <w:color w:val="auto"/>
                <w:sz w:val="18"/>
                <w:szCs w:val="18"/>
                <w:lang w:val="es-ES" w:eastAsia="es-ES"/>
              </w:rPr>
            </w:pPr>
            <w:r w:rsidRPr="00571545">
              <w:rPr>
                <w:rFonts w:cs="Calibri"/>
                <w:color w:val="auto"/>
                <w:sz w:val="18"/>
                <w:szCs w:val="18"/>
                <w:lang w:val="es-ES" w:eastAsia="es-ES"/>
              </w:rPr>
              <w:t>-4.69(±0.12)</w:t>
            </w:r>
          </w:p>
        </w:tc>
      </w:tr>
      <w:tr w:rsidR="004843D7" w:rsidRPr="00571545" w14:paraId="69FBE9B7" w14:textId="77777777" w:rsidTr="009A42DA">
        <w:trPr>
          <w:trHeight w:val="283"/>
          <w:jc w:val="center"/>
        </w:trPr>
        <w:tc>
          <w:tcPr>
            <w:tcW w:w="9957" w:type="dxa"/>
            <w:gridSpan w:val="11"/>
            <w:tcBorders>
              <w:top w:val="single" w:sz="4" w:space="0" w:color="auto"/>
            </w:tcBorders>
            <w:shd w:val="clear" w:color="auto" w:fill="auto"/>
            <w:noWrap/>
            <w:vAlign w:val="center"/>
          </w:tcPr>
          <w:p w14:paraId="37238D99" w14:textId="41C99667" w:rsidR="004843D7" w:rsidRPr="00571545" w:rsidRDefault="004843D7" w:rsidP="008D4DAD">
            <w:pPr>
              <w:spacing w:line="240" w:lineRule="auto"/>
              <w:jc w:val="left"/>
              <w:rPr>
                <w:rFonts w:cs="Calibri"/>
                <w:color w:val="auto"/>
                <w:sz w:val="18"/>
                <w:szCs w:val="18"/>
                <w:lang w:val="es-ES" w:eastAsia="es-ES"/>
              </w:rPr>
            </w:pPr>
            <w:r w:rsidRPr="00571545">
              <w:rPr>
                <w:rFonts w:cs="Calibri"/>
                <w:color w:val="auto"/>
                <w:sz w:val="18"/>
                <w:szCs w:val="18"/>
                <w:vertAlign w:val="superscript"/>
                <w:lang w:eastAsia="es-ES"/>
              </w:rPr>
              <w:t>a</w:t>
            </w:r>
            <w:r w:rsidRPr="00571545">
              <w:rPr>
                <w:rFonts w:cs="Calibri"/>
                <w:color w:val="auto"/>
                <w:sz w:val="18"/>
                <w:szCs w:val="18"/>
                <w:lang w:eastAsia="es-ES"/>
              </w:rPr>
              <w:t xml:space="preserve"> From reference </w:t>
            </w:r>
            <w:r w:rsidRPr="00571545">
              <w:rPr>
                <w:rFonts w:cs="Calibri"/>
                <w:color w:val="auto"/>
                <w:sz w:val="18"/>
                <w:szCs w:val="18"/>
                <w:lang w:val="es-ES" w:eastAsia="es-ES"/>
              </w:rPr>
              <w:fldChar w:fldCharType="begin" w:fldLock="1"/>
            </w:r>
            <w:r w:rsidRPr="00571545">
              <w:rPr>
                <w:rFonts w:cs="Calibri"/>
                <w:color w:val="auto"/>
                <w:sz w:val="18"/>
                <w:szCs w:val="18"/>
                <w:lang w:eastAsia="es-ES"/>
              </w:rPr>
              <w:instrText>ADDIN CSL_CITATION {"citationItems":[{"id":"ITEM-1","itemData":{"id":"ITEM-1","issued":{"date-parts":[["0"]]},"title":"ACD/Percepta, www.acdlabs.com, Advanced Chemistry Development, Inc., Release (Build 2726, 5 359 May 2014)","type":"article"},"uris":["http://www.mendeley.com/documents/?uuid=895d68ba-5b29-4ea4-b533-7325fbf6b0cf"]}],"mendeley":{"formattedCitation":"[21]","plainTextFormattedCitation":"[21]","previouslyFormattedCitation":"[20]"},"properties":{"noteIndex":0},"schema":"https://github.com/citation-style-language/schema/raw/master/csl-citation.json"}</w:instrText>
            </w:r>
            <w:r w:rsidRPr="00571545">
              <w:rPr>
                <w:rFonts w:cs="Calibri"/>
                <w:color w:val="auto"/>
                <w:sz w:val="18"/>
                <w:szCs w:val="18"/>
                <w:lang w:val="es-ES"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20</w:t>
            </w:r>
            <w:r w:rsidRPr="00571545">
              <w:rPr>
                <w:rFonts w:cs="Calibri"/>
                <w:noProof/>
                <w:color w:val="auto"/>
                <w:sz w:val="18"/>
                <w:szCs w:val="18"/>
                <w:lang w:eastAsia="es-ES"/>
              </w:rPr>
              <w:t>]</w:t>
            </w:r>
            <w:r w:rsidRPr="00571545">
              <w:rPr>
                <w:rFonts w:cs="Calibri"/>
                <w:color w:val="auto"/>
                <w:sz w:val="18"/>
                <w:szCs w:val="18"/>
                <w:lang w:val="es-ES"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b</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{"citationItems":[{"id":"ITEM-1","itemData":{"id":"ITEM-1","issued":{"date-parts":[["0"]]},"title":"Bio-Loom, 2017. BioByte Corp. Claremont, CA, USA. www.biobyte.com","type":"article"},"uris":["http://www.mendeley.com/documents/?uuid=50c5563f-f534-4617-9898-bd44ae7ab2bd"]}],"mendeley":{"formattedCitation":"[20]","plainTextFormattedCitation":"[20]","previouslyFormattedCitation":"[19]"},"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19</w:t>
            </w:r>
            <w:r w:rsidRPr="00571545">
              <w:rPr>
                <w:rFonts w:cs="Calibri"/>
                <w:noProof/>
                <w:color w:val="auto"/>
                <w:sz w:val="18"/>
                <w:szCs w:val="18"/>
                <w:lang w:eastAsia="es-ES"/>
              </w:rPr>
              <w:t>]</w:t>
            </w:r>
            <w:r w:rsidRPr="00571545">
              <w:rPr>
                <w:rFonts w:cs="Calibri"/>
                <w:color w:val="auto"/>
                <w:sz w:val="18"/>
                <w:szCs w:val="18"/>
                <w:lang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c</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{"citationItems":[{"id":"ITEM-1","itemData":{"DOI":"10.1002/elps.201400353","ISSN":"15222683","PMID":"23357751","abstract":"The IS-CE method is developed for pKadetermination of polyprotic compounds. In this method, the internal standard (IS) and the polyprotic test compound are injected into the capillary electrophoresis (CE) system in buffers with appropriate pH. The pH of the buffers is not externally measured, but determined inside the capillary from the mobilities of the internal standards. Then the pKavalues of the polyprotic compounds are obtained by fitting its mobilities to the in situ pH values. The method is faster than the classical CE method (a diprotic compound can be done in less than 15min), and also than other methods like potentiometric and spectrophotometric titrations. The method has been successfully applied to 20 polyprotic test compounds of different chemical nature, including compounds with extreme or very close pKavalues. © 2013 Elsevier B.V..","author":[{"dropping-particle":"","family":"Cabot","given":"Joan Marc","non-dropping-particle":"","parse-names":false,"suffix":""},{"dropping-particle":"","family":"Fuguet","given":"Elisabet","non-dropping-particle":"","parse-names":false,"suffix":""},{"dropping-particle":"","family":"Rosés","given":"Martí","non-dropping-particle":"","parse-names":false,"suffix":""}],"container-title":"Electrophoresis","id":"ITEM-1","issue":"24","issued":{"date-parts":[["2014"]]},"page":"3564-3569","title":"Determination of acidity constants of sparingly soluble drugs in aqueous solution by the internal standard capillary electrophoresis method","type":"article-journal","volume":"35"},"uris":["http://www.mendeley.com/documents/?uuid=e2522e9c-1641-407c-9909-687c5f1a1d1b"]}],"mendeley":{"formattedCitation":"[22]","plainTextFormattedCitation":"[22]","previouslyFormattedCitation":"[21]"},"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21</w:t>
            </w:r>
            <w:r w:rsidRPr="00571545">
              <w:rPr>
                <w:rFonts w:cs="Calibri"/>
                <w:noProof/>
                <w:color w:val="auto"/>
                <w:sz w:val="18"/>
                <w:szCs w:val="18"/>
                <w:lang w:eastAsia="es-ES"/>
              </w:rPr>
              <w:t>]</w:t>
            </w:r>
            <w:r w:rsidRPr="00571545">
              <w:rPr>
                <w:rFonts w:cs="Calibri"/>
                <w:color w:val="auto"/>
                <w:sz w:val="18"/>
                <w:szCs w:val="18"/>
                <w:lang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d</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{"citationItems":[{"id":"ITEM-1","itemData":{"DOI":"10.1002/rcm.1229","ISBN":"0951-4198 (Print)\\r0951-4198 (Linking)","ISSN":"09514198","PMID":"14648902","abstract":"A high-throughput pKa screening method based on pressure-assisted capillary electrophoresis (CE) and mass spectrometry (MS) is presented. Effects of buffer type and ionic strength on sensitivity and pKa values were investigated. Influence of dimethyl sulfoxide (DMSO) concentration present in the sample on effective mobility measurement was examined. A series of ten volatile buffers, covering a pH range from 2.5 to 10.5 with the same ionic strength, was employed. The application of volatile background electrolytes resulted in significant signal increase as compared with commonly used non-volatile phosphate buffers. In general, the CE/MS system provided a ten-fold higher sensitivity than conventional UV detection. The newly developed CE/MS method offers high-throughput capacity by pooling a number of compounds into a single sample. Simultaneous measurement of more than 50 compounds was readily achieved in less than 150 min. The measured pKa values are consistent with the published data obtained from the CE/UV method and are also in good agreement with data generated by other methods. Other advantages of using CE/MS for pKa screening are illustrated with typical examples, including poorly soluble compounds and non-UV-absorbing compounds.","author":[{"dropping-particle":"","family":"Wan","given":"Hong","non-dropping-particle":"","parse-names":false,"suffix":""},{"dropping-particle":"","family":"Holmén","given":"Anders G.","non-dropping-particle":"","parse-names":false,"suffix":""},{"dropping-particle":"","family":"Wang","given":"Yudong","non-dropping-particle":"","parse-names":false,"suffix":""},{"dropping-particle":"","family":"Lindberg","given":"Walter","non-dropping-particle":"","parse-names":false,"suffix":""},{"dropping-particle":"","family":"Englund","given":"Marie","non-dropping-particle":"","parse-names":false,"suffix":""},{"dropping-particle":"","family":"Någård","given":"Mats B.","non-dropping-particle":"","parse-names":false,"suffix":""},{"dropping-particle":"","family":"Thompson","given":"Richard A.","non-dropping-particle":"","parse-names":false,"suffix":""}],"container-title":"Rapid Communications in Mass Spectrometry","id":"ITEM-1","issue":"23","issued":{"date-parts":[["2003"]]},"page":"2639-2648","title":"High-throughput screening of pKa values of pharmaceuticals by pressure-assisted capillary electrophoresis and mass spectrometry","type":"article-journal","volume":"17"},"uris":["http://www.mendeley.com/documents/?uuid=eb4dddc6-1eab-4d33-9d3e-7eb6c265a28f"]}],"mendeley":{"formattedCitation":"[23]","plainTextFormattedCitation":"[23]","previouslyFormattedCitation":"[22]"},"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22</w:t>
            </w:r>
            <w:r w:rsidRPr="00571545">
              <w:rPr>
                <w:rFonts w:cs="Calibri"/>
                <w:noProof/>
                <w:color w:val="auto"/>
                <w:sz w:val="18"/>
                <w:szCs w:val="18"/>
                <w:lang w:eastAsia="es-ES"/>
              </w:rPr>
              <w:t>]</w:t>
            </w:r>
            <w:r w:rsidRPr="00571545">
              <w:rPr>
                <w:rFonts w:cs="Calibri"/>
                <w:color w:val="auto"/>
                <w:sz w:val="18"/>
                <w:szCs w:val="18"/>
                <w:lang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e</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{"citationItems":[{"id":"ITEM-1","itemData":{"DOI":"10.1016/j.ejps.2018.07.010","ISSN":"18790720","abstract":"In the present study three different procedures have been compared for the determination of the lipophilicity of the unionized species (log Po/w) of neutral, acidic, basic, amphoteric, and zwitterionic drugs. Shake-flask, potentiometric and chromatographic approaches have been assayed in a set of 66 representative compounds in different phases of advanced development. An excellent equivalence has been found between log Po/wvalues obtained by shake-flask and potentiometry, while the chromatographic approach is less accurate but very convenient for screening purposes when a high-throughput is required. In the case of zwitterionic and amphoteric compounds, either for shake-flask and chromatographic methods, the pH has to be accurately selected in order to ensure the compound to be in its neutral form.","author":[{"dropping-particle":"","family":"Port","given":"Adriana","non-dropping-particle":"","parse-names":false,"suffix":""},{"dropping-particle":"","family":"Bordas","given":"Magda","non-dropping-particle":"","parse-names":false,"suffix":""},{"dropping-particle":"","family":"Enrech","given":"Raquel","non-dropping-particle":"","parse-names":false,"suffix":""},{"dropping-particle":"","family":"Pascual","given":"Rosalia","non-dropping-particle":"","parse-names":false,"suffix":""},{"dropping-particle":"","family":"Rosés","given":"Martí","non-dropping-particle":"","parse-names":false,"suffix":""},{"dropping-particle":"","family":"Ràfols","given":"Clara","non-dropping-particle":"","parse-names":false,"suffix":""},{"dropping-particle":"","family":"Subirats","given":"Xavier","non-dropping-particle":"","parse-names":false,"suffix":""},{"dropping-particle":"","family":"Bosch","given":"Elisabeth","non-dropping-particle":"","parse-names":false,"suffix":""}],"container-title":"European Journal of Pharmaceutical Sciences","id":"ITEM-1","issue":"June","issued":{"date-parts":[["2018"]]},"page":"331-340","publisher":"Elsevier","title":"Critical comparison of shake-flask, potentiometric and chromatographic methods for lipophilicity evaluation (log Po/w) of neutral, acidic, basic, amphoteric, and zwitterionic drugs","type":"article-journal","volume":"122"},"uris":["http://www.mendeley.com/documents/?uuid=fa5ecbf1-1a0d-40a0-bbd7-1ad39d995a23"]}],"mendeley":{"formattedCitation":"[24]","plainTextFormattedCitation":"[24]","previouslyFormattedCitation":"[23]"},"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23</w:t>
            </w:r>
            <w:r w:rsidRPr="00571545">
              <w:rPr>
                <w:rFonts w:cs="Calibri"/>
                <w:noProof/>
                <w:color w:val="auto"/>
                <w:sz w:val="18"/>
                <w:szCs w:val="18"/>
                <w:lang w:eastAsia="es-ES"/>
              </w:rPr>
              <w:t>]</w:t>
            </w:r>
            <w:r w:rsidRPr="00571545">
              <w:rPr>
                <w:rFonts w:cs="Calibri"/>
                <w:color w:val="auto"/>
                <w:sz w:val="18"/>
                <w:szCs w:val="18"/>
                <w:lang w:eastAsia="es-ES"/>
              </w:rPr>
              <w:fldChar w:fldCharType="end"/>
            </w:r>
          </w:p>
        </w:tc>
      </w:tr>
    </w:tbl>
    <w:p w14:paraId="2011E0F3" w14:textId="33E95373" w:rsidR="00D3678E" w:rsidRDefault="007C4317" w:rsidP="00D91ABA">
      <w:pPr>
        <w:pStyle w:val="ADMETtext"/>
      </w:pPr>
      <w:r w:rsidRPr="00D91ABA">
        <w:rPr>
          <w:rStyle w:val="Emphasis"/>
          <w:bCs/>
          <w:i w:val="0"/>
          <w:color w:val="auto"/>
        </w:rPr>
        <w:t>First</w:t>
      </w:r>
      <w:r w:rsidR="00354901" w:rsidRPr="00D91ABA">
        <w:rPr>
          <w:rStyle w:val="Emphasis"/>
          <w:bCs/>
          <w:i w:val="0"/>
          <w:color w:val="auto"/>
        </w:rPr>
        <w:t xml:space="preserve">, </w:t>
      </w:r>
      <w:r w:rsidR="00D53B00" w:rsidRPr="00D91ABA">
        <w:rPr>
          <w:rStyle w:val="Emphasis"/>
          <w:bCs/>
          <w:i w:val="0"/>
          <w:color w:val="auto"/>
        </w:rPr>
        <w:t xml:space="preserve">to study the </w:t>
      </w:r>
      <w:r w:rsidR="00D53B00" w:rsidRPr="00D91ABA">
        <w:rPr>
          <w:rFonts w:cs="Calibri"/>
          <w:lang w:val="en-GB"/>
        </w:rPr>
        <w:t xml:space="preserve">effect of the incubation time and stirring in the determination of the skin permeability through the </w:t>
      </w:r>
      <w:r w:rsidR="000F4754" w:rsidRPr="00D91ABA">
        <w:rPr>
          <w:rFonts w:cs="Calibri"/>
          <w:lang w:val="en-GB"/>
        </w:rPr>
        <w:t>skin-PAMPA</w:t>
      </w:r>
      <w:r w:rsidR="00D53B00" w:rsidRPr="00D91ABA">
        <w:rPr>
          <w:rFonts w:cs="Calibri"/>
          <w:lang w:val="en-GB"/>
        </w:rPr>
        <w:t xml:space="preserve"> </w:t>
      </w:r>
      <w:r w:rsidR="00D53B00" w:rsidRPr="00D91ABA">
        <w:t>permeability</w:t>
      </w:r>
      <w:r w:rsidR="00D53B00" w:rsidRPr="00D91ABA">
        <w:rPr>
          <w:rFonts w:cs="Calibri"/>
          <w:lang w:val="en-GB"/>
        </w:rPr>
        <w:t xml:space="preserve">, </w:t>
      </w:r>
      <w:r w:rsidR="00354901" w:rsidRPr="00D91ABA">
        <w:rPr>
          <w:rStyle w:val="Emphasis"/>
          <w:bCs/>
          <w:i w:val="0"/>
          <w:color w:val="auto"/>
        </w:rPr>
        <w:t>t</w:t>
      </w:r>
      <w:r w:rsidR="002342E9" w:rsidRPr="00D91ABA">
        <w:rPr>
          <w:rStyle w:val="Emphasis"/>
          <w:bCs/>
          <w:i w:val="0"/>
          <w:color w:val="auto"/>
        </w:rPr>
        <w:t xml:space="preserve">he log </w:t>
      </w:r>
      <w:proofErr w:type="spellStart"/>
      <w:proofErr w:type="gramStart"/>
      <w:r w:rsidR="002342E9" w:rsidRPr="00BA67E5">
        <w:rPr>
          <w:rStyle w:val="Emphasis"/>
          <w:bCs/>
          <w:color w:val="auto"/>
        </w:rPr>
        <w:t>K</w:t>
      </w:r>
      <w:r w:rsidR="002342E9" w:rsidRPr="00D91ABA">
        <w:rPr>
          <w:rStyle w:val="Emphasis"/>
          <w:bCs/>
          <w:i w:val="0"/>
          <w:color w:val="auto"/>
          <w:vertAlign w:val="subscript"/>
        </w:rPr>
        <w:t>p</w:t>
      </w:r>
      <w:proofErr w:type="spellEnd"/>
      <w:proofErr w:type="gramEnd"/>
      <w:r w:rsidR="002342E9" w:rsidRPr="00D91ABA">
        <w:rPr>
          <w:rStyle w:val="Emphasis"/>
          <w:bCs/>
          <w:i w:val="0"/>
          <w:color w:val="auto"/>
        </w:rPr>
        <w:t xml:space="preserve"> values were correlated to the log </w:t>
      </w:r>
      <w:proofErr w:type="spellStart"/>
      <w:r w:rsidR="002342E9" w:rsidRPr="00BA67E5">
        <w:rPr>
          <w:rStyle w:val="Emphasis"/>
          <w:bCs/>
          <w:color w:val="auto"/>
        </w:rPr>
        <w:t>P</w:t>
      </w:r>
      <w:r w:rsidR="002342E9" w:rsidRPr="00D91ABA">
        <w:rPr>
          <w:rStyle w:val="Emphasis"/>
          <w:bCs/>
          <w:i w:val="0"/>
          <w:color w:val="auto"/>
          <w:vertAlign w:val="subscript"/>
        </w:rPr>
        <w:t>e</w:t>
      </w:r>
      <w:proofErr w:type="spellEnd"/>
      <w:r w:rsidR="002342E9" w:rsidRPr="00D91ABA">
        <w:rPr>
          <w:rStyle w:val="Emphasis"/>
          <w:bCs/>
          <w:i w:val="0"/>
          <w:color w:val="auto"/>
        </w:rPr>
        <w:t xml:space="preserve"> obtained from </w:t>
      </w:r>
      <w:r w:rsidR="000F4754" w:rsidRPr="00D91ABA">
        <w:rPr>
          <w:rStyle w:val="Emphasis"/>
          <w:bCs/>
          <w:i w:val="0"/>
          <w:color w:val="auto"/>
        </w:rPr>
        <w:t>skin-PAMPA</w:t>
      </w:r>
      <w:r w:rsidR="002342E9" w:rsidRPr="00D91ABA">
        <w:rPr>
          <w:rStyle w:val="Emphasis"/>
          <w:bCs/>
          <w:i w:val="0"/>
          <w:color w:val="auto"/>
        </w:rPr>
        <w:t xml:space="preserve"> assays at each incubation time</w:t>
      </w:r>
      <w:r w:rsidR="000B2269" w:rsidRPr="00D91ABA">
        <w:rPr>
          <w:rStyle w:val="Emphasis"/>
          <w:bCs/>
          <w:i w:val="0"/>
          <w:color w:val="auto"/>
        </w:rPr>
        <w:t xml:space="preserve">. </w:t>
      </w:r>
      <w:r w:rsidR="00663981" w:rsidRPr="00D91ABA">
        <w:rPr>
          <w:rStyle w:val="Emphasis"/>
          <w:bCs/>
          <w:i w:val="0"/>
          <w:color w:val="auto"/>
        </w:rPr>
        <w:t>T</w:t>
      </w:r>
      <w:r w:rsidR="000B2269" w:rsidRPr="00D91ABA">
        <w:rPr>
          <w:rStyle w:val="Emphasis"/>
          <w:bCs/>
          <w:i w:val="0"/>
          <w:color w:val="auto"/>
        </w:rPr>
        <w:t>he correlations obtained</w:t>
      </w:r>
      <w:r w:rsidR="009525E3" w:rsidRPr="00D91ABA">
        <w:rPr>
          <w:rStyle w:val="Emphasis"/>
          <w:bCs/>
          <w:i w:val="0"/>
          <w:color w:val="auto"/>
        </w:rPr>
        <w:t xml:space="preserve"> </w:t>
      </w:r>
      <w:r w:rsidR="007C1B94" w:rsidRPr="00D91ABA">
        <w:t xml:space="preserve">are presented in Figure 1 A-C. Each figure contains two different correlations, one for the </w:t>
      </w:r>
      <w:r w:rsidR="0061372A" w:rsidRPr="00D91ABA">
        <w:t xml:space="preserve">stirred assays and another for </w:t>
      </w:r>
      <w:r w:rsidR="007C1B94" w:rsidRPr="00D91ABA">
        <w:t>unstirred assays.</w:t>
      </w:r>
      <w:r w:rsidR="00663981" w:rsidRPr="00D91ABA">
        <w:t xml:space="preserve"> </w:t>
      </w:r>
      <w:r w:rsidR="00D3678E" w:rsidRPr="00D91ABA">
        <w:t>As it can</w:t>
      </w:r>
      <w:r w:rsidR="00A60435" w:rsidRPr="00D91ABA">
        <w:t xml:space="preserve"> be</w:t>
      </w:r>
      <w:r w:rsidR="00D3678E" w:rsidRPr="00D91ABA">
        <w:t xml:space="preserve"> </w:t>
      </w:r>
      <w:r w:rsidR="001D6441" w:rsidRPr="00D91ABA">
        <w:t>observe</w:t>
      </w:r>
      <w:r w:rsidR="00A60435" w:rsidRPr="00D91ABA">
        <w:t>d</w:t>
      </w:r>
      <w:r w:rsidR="00D3678E" w:rsidRPr="00D91ABA">
        <w:t>,</w:t>
      </w:r>
      <w:r w:rsidR="001D6441" w:rsidRPr="00D91ABA">
        <w:t xml:space="preserve"> the number of compounds that can be determined </w:t>
      </w:r>
      <w:r w:rsidR="00A60435" w:rsidRPr="00D91ABA">
        <w:t>in</w:t>
      </w:r>
      <w:r w:rsidR="001D6441" w:rsidRPr="00D91ABA">
        <w:t xml:space="preserve"> 4 hours (n=8) is greater than </w:t>
      </w:r>
      <w:r w:rsidR="00A60435" w:rsidRPr="00D91ABA">
        <w:t xml:space="preserve">in </w:t>
      </w:r>
      <w:r w:rsidR="001D6441" w:rsidRPr="00D91ABA">
        <w:t xml:space="preserve">30 </w:t>
      </w:r>
      <w:r w:rsidR="00CE44FC" w:rsidRPr="00D91ABA">
        <w:t>minutes</w:t>
      </w:r>
      <w:r w:rsidR="00A60435" w:rsidRPr="00D91ABA">
        <w:t xml:space="preserve"> (n=6)</w:t>
      </w:r>
      <w:r w:rsidR="001D6441" w:rsidRPr="00D91ABA">
        <w:t xml:space="preserve"> and 24 hours (n=6). For some compounds</w:t>
      </w:r>
      <w:r w:rsidR="00B37B9D" w:rsidRPr="00D91ABA">
        <w:t xml:space="preserve">, </w:t>
      </w:r>
      <w:r w:rsidR="00A62847" w:rsidRPr="00D91ABA">
        <w:t xml:space="preserve">such </w:t>
      </w:r>
      <w:r w:rsidR="001D6441" w:rsidRPr="00D91ABA">
        <w:t xml:space="preserve">as 5-fluorouracil, hydrocortisone and </w:t>
      </w:r>
      <w:proofErr w:type="spellStart"/>
      <w:r w:rsidR="001D6441" w:rsidRPr="00D91ABA">
        <w:t>digitoxin</w:t>
      </w:r>
      <w:proofErr w:type="spellEnd"/>
      <w:r w:rsidR="00A62847" w:rsidRPr="00D91ABA">
        <w:t>,</w:t>
      </w:r>
      <w:r w:rsidR="00E3529A" w:rsidRPr="00D91ABA">
        <w:t xml:space="preserve"> whose </w:t>
      </w:r>
      <w:r w:rsidR="00E3529A" w:rsidRPr="00D91ABA">
        <w:lastRenderedPageBreak/>
        <w:t xml:space="preserve">log </w:t>
      </w:r>
      <w:proofErr w:type="spellStart"/>
      <w:proofErr w:type="gramStart"/>
      <w:r w:rsidR="00E3529A" w:rsidRPr="00BA67E5">
        <w:rPr>
          <w:i/>
        </w:rPr>
        <w:t>K</w:t>
      </w:r>
      <w:r w:rsidR="00E3529A" w:rsidRPr="00D91ABA">
        <w:rPr>
          <w:vertAlign w:val="subscript"/>
        </w:rPr>
        <w:t>p</w:t>
      </w:r>
      <w:proofErr w:type="spellEnd"/>
      <w:proofErr w:type="gramEnd"/>
      <w:r w:rsidR="00A62847" w:rsidRPr="00D91ABA">
        <w:t xml:space="preserve"> </w:t>
      </w:r>
      <w:r w:rsidR="00881A72" w:rsidRPr="00D91ABA">
        <w:t xml:space="preserve">values are quite low, </w:t>
      </w:r>
      <w:r w:rsidR="00A62847" w:rsidRPr="00D91ABA">
        <w:t xml:space="preserve">an incubation time of 30 </w:t>
      </w:r>
      <w:r w:rsidR="00CE44FC" w:rsidRPr="00D91ABA">
        <w:t>minutes</w:t>
      </w:r>
      <w:r w:rsidR="00A62847" w:rsidRPr="00D91ABA">
        <w:t xml:space="preserve"> is not enough to reach the steady state, therefore </w:t>
      </w:r>
      <w:r w:rsidR="00881A72" w:rsidRPr="00D91ABA">
        <w:t>their</w:t>
      </w:r>
      <w:r w:rsidR="00A62847" w:rsidRPr="00D91ABA">
        <w:t xml:space="preserve"> </w:t>
      </w:r>
      <w:r w:rsidR="000F4754" w:rsidRPr="00D91ABA">
        <w:t>skin-PAMPA</w:t>
      </w:r>
      <w:r w:rsidR="00A62847" w:rsidRPr="00D91ABA">
        <w:t xml:space="preserve"> permeability values can</w:t>
      </w:r>
      <w:r w:rsidR="004A441E" w:rsidRPr="00D91ABA">
        <w:t>not</w:t>
      </w:r>
      <w:r w:rsidR="00A62847" w:rsidRPr="00D91ABA">
        <w:t xml:space="preserve"> be evaluated</w:t>
      </w:r>
      <w:r w:rsidR="00881A72" w:rsidRPr="00D91ABA">
        <w:t xml:space="preserve">. </w:t>
      </w:r>
      <w:r w:rsidR="00040615" w:rsidRPr="00D91ABA">
        <w:t xml:space="preserve">After </w:t>
      </w:r>
      <w:r w:rsidR="00D56BDC" w:rsidRPr="00D91ABA">
        <w:t>4 hours</w:t>
      </w:r>
      <w:r w:rsidR="00B37B9D" w:rsidRPr="00D91ABA">
        <w:t xml:space="preserve"> of incubation</w:t>
      </w:r>
      <w:r w:rsidR="00D56BDC" w:rsidRPr="00D91ABA">
        <w:t xml:space="preserve">, all drugs can be determined except </w:t>
      </w:r>
      <w:proofErr w:type="spellStart"/>
      <w:r w:rsidR="00D56BDC" w:rsidRPr="00D91ABA">
        <w:t>digitoxin</w:t>
      </w:r>
      <w:proofErr w:type="spellEnd"/>
      <w:r w:rsidR="00040615" w:rsidRPr="00D91ABA">
        <w:t xml:space="preserve"> </w:t>
      </w:r>
      <w:r w:rsidR="00A43230" w:rsidRPr="00D91ABA">
        <w:t xml:space="preserve">which does not arrive </w:t>
      </w:r>
      <w:r w:rsidR="00BA67E5">
        <w:t>at</w:t>
      </w:r>
      <w:r w:rsidR="00A43230" w:rsidRPr="00D91ABA">
        <w:t xml:space="preserve"> the steady state</w:t>
      </w:r>
      <w:r w:rsidR="00D56BDC" w:rsidRPr="00D91ABA">
        <w:t xml:space="preserve">. </w:t>
      </w:r>
      <w:proofErr w:type="spellStart"/>
      <w:r w:rsidR="007F770A" w:rsidRPr="00D91ABA">
        <w:t>Digitoxin</w:t>
      </w:r>
      <w:proofErr w:type="spellEnd"/>
      <w:r w:rsidR="007F770A" w:rsidRPr="00D91ABA">
        <w:t xml:space="preserve"> is considered </w:t>
      </w:r>
      <w:r w:rsidR="00A43230" w:rsidRPr="00D91ABA">
        <w:t xml:space="preserve">very </w:t>
      </w:r>
      <w:r w:rsidR="00C92B6B" w:rsidRPr="00D91ABA">
        <w:t xml:space="preserve">little </w:t>
      </w:r>
      <w:r w:rsidR="00D56BDC" w:rsidRPr="00D91ABA">
        <w:t xml:space="preserve">permeable </w:t>
      </w:r>
      <w:r w:rsidR="00040615" w:rsidRPr="00D91ABA">
        <w:t>due to its very low</w:t>
      </w:r>
      <w:r w:rsidR="007F770A" w:rsidRPr="00D91ABA">
        <w:t xml:space="preserve"> </w:t>
      </w:r>
      <w:r w:rsidR="007F770A" w:rsidRPr="00D91ABA">
        <w:rPr>
          <w:i/>
        </w:rPr>
        <w:t>in vitro</w:t>
      </w:r>
      <w:r w:rsidR="007F770A" w:rsidRPr="00D91ABA">
        <w:t xml:space="preserve"> skin permeability value </w:t>
      </w:r>
      <w:r w:rsidR="00D56BDC" w:rsidRPr="00D91ABA">
        <w:t xml:space="preserve">(log </w:t>
      </w:r>
      <w:proofErr w:type="spellStart"/>
      <w:proofErr w:type="gramStart"/>
      <w:r w:rsidR="00D56BDC" w:rsidRPr="00BA67E5">
        <w:rPr>
          <w:i/>
        </w:rPr>
        <w:t>K</w:t>
      </w:r>
      <w:r w:rsidR="00D56BDC" w:rsidRPr="00D91ABA">
        <w:rPr>
          <w:vertAlign w:val="subscript"/>
        </w:rPr>
        <w:t>p</w:t>
      </w:r>
      <w:proofErr w:type="spellEnd"/>
      <w:proofErr w:type="gramEnd"/>
      <w:r w:rsidR="00D56BDC" w:rsidRPr="00D91ABA">
        <w:t xml:space="preserve"> = -8.15). </w:t>
      </w:r>
      <w:r w:rsidR="00FF71F3" w:rsidRPr="00D91ABA">
        <w:t xml:space="preserve">After </w:t>
      </w:r>
      <w:r w:rsidR="00561835" w:rsidRPr="00D91ABA">
        <w:t xml:space="preserve">24 hours of incubation, </w:t>
      </w:r>
      <w:proofErr w:type="spellStart"/>
      <w:r w:rsidR="00E96C5C" w:rsidRPr="00D91ABA">
        <w:t>digitoxin</w:t>
      </w:r>
      <w:proofErr w:type="spellEnd"/>
      <w:r w:rsidR="00E96C5C" w:rsidRPr="00D91ABA">
        <w:t xml:space="preserve"> can reach the steady state and its skin-PAMPA permeability values can be determined. However, c</w:t>
      </w:r>
      <w:r w:rsidR="00DC6EBB" w:rsidRPr="00D91ABA">
        <w:t xml:space="preserve">ompounds such as </w:t>
      </w:r>
      <w:proofErr w:type="spellStart"/>
      <w:r w:rsidR="00DC6EBB" w:rsidRPr="00D91ABA">
        <w:t>flurbiprofen</w:t>
      </w:r>
      <w:proofErr w:type="spellEnd"/>
      <w:r w:rsidR="00DC6EBB" w:rsidRPr="00D91ABA">
        <w:t>, ibuprofen and naproxen</w:t>
      </w:r>
      <w:r w:rsidR="00E0764E" w:rsidRPr="00D91ABA">
        <w:t xml:space="preserve"> (</w:t>
      </w:r>
      <w:r w:rsidR="00881A72" w:rsidRPr="00D91ABA">
        <w:t xml:space="preserve">with </w:t>
      </w:r>
      <w:r w:rsidR="00E0764E" w:rsidRPr="00D91ABA">
        <w:t xml:space="preserve">high log </w:t>
      </w:r>
      <w:proofErr w:type="spellStart"/>
      <w:proofErr w:type="gramStart"/>
      <w:r w:rsidR="00E0764E" w:rsidRPr="00BA67E5">
        <w:rPr>
          <w:i/>
        </w:rPr>
        <w:t>K</w:t>
      </w:r>
      <w:r w:rsidR="00E0764E" w:rsidRPr="00D91ABA">
        <w:rPr>
          <w:vertAlign w:val="subscript"/>
        </w:rPr>
        <w:t>p</w:t>
      </w:r>
      <w:proofErr w:type="spellEnd"/>
      <w:proofErr w:type="gramEnd"/>
      <w:r w:rsidR="00E0764E" w:rsidRPr="00D91ABA">
        <w:t xml:space="preserve"> values)</w:t>
      </w:r>
      <w:r w:rsidR="00DC6EBB" w:rsidRPr="00D91ABA">
        <w:t xml:space="preserve"> </w:t>
      </w:r>
      <w:r w:rsidR="00E0764E" w:rsidRPr="00D91ABA">
        <w:t>can</w:t>
      </w:r>
      <w:r w:rsidR="00B755D1" w:rsidRPr="00D91ABA">
        <w:t>not</w:t>
      </w:r>
      <w:r w:rsidR="00E0764E" w:rsidRPr="00D91ABA">
        <w:t xml:space="preserve"> be determined</w:t>
      </w:r>
      <w:r w:rsidR="003B01F4" w:rsidRPr="00D91ABA">
        <w:t>.</w:t>
      </w:r>
      <w:r w:rsidR="00E0764E" w:rsidRPr="00D91ABA">
        <w:t xml:space="preserve"> </w:t>
      </w:r>
      <w:r w:rsidR="00D86100" w:rsidRPr="00D91ABA">
        <w:t>When</w:t>
      </w:r>
      <w:r w:rsidR="003E2CB5" w:rsidRPr="00D91ABA">
        <w:t xml:space="preserve"> a compound is </w:t>
      </w:r>
      <w:r w:rsidR="00D86100" w:rsidRPr="00D91ABA">
        <w:t>highly permeable,</w:t>
      </w:r>
      <w:r w:rsidR="00B37B9D" w:rsidRPr="00D91ABA">
        <w:t xml:space="preserve"> long incubation times</w:t>
      </w:r>
      <w:r w:rsidR="00D86100" w:rsidRPr="00D91ABA">
        <w:t xml:space="preserve"> under gradient-pH conditions </w:t>
      </w:r>
      <w:r w:rsidR="00B37B9D" w:rsidRPr="00D91ABA">
        <w:t xml:space="preserve">provoke that </w:t>
      </w:r>
      <w:r w:rsidR="00D86100" w:rsidRPr="00D91ABA">
        <w:t xml:space="preserve">the donor and acceptor compartment concentrations achieve equilibrium values and hence the </w:t>
      </w:r>
      <w:r w:rsidR="00AC5806" w:rsidRPr="00D91ABA">
        <w:t xml:space="preserve">whole </w:t>
      </w:r>
      <w:r w:rsidR="00D86100" w:rsidRPr="00D91ABA">
        <w:t>sample</w:t>
      </w:r>
      <w:r w:rsidR="00AC5806" w:rsidRPr="00D91ABA">
        <w:t xml:space="preserve"> of the donor compartment</w:t>
      </w:r>
      <w:r w:rsidR="00D86100" w:rsidRPr="00D91ABA">
        <w:t xml:space="preserve"> moves </w:t>
      </w:r>
      <w:r w:rsidR="00AC5806" w:rsidRPr="00D91ABA">
        <w:t xml:space="preserve">to acceptor compartment due to sink conditions, making difficult to determine the permeability values. </w:t>
      </w:r>
    </w:p>
    <w:p w14:paraId="4F3B2DF3" w14:textId="76D7FD47" w:rsidR="0042003D" w:rsidRDefault="0042003D" w:rsidP="0042003D">
      <w:pPr>
        <w:pStyle w:val="ADMETtext"/>
        <w:ind w:firstLine="0"/>
        <w:jc w:val="center"/>
      </w:pPr>
      <w:r>
        <w:rPr>
          <w:noProof/>
          <w:lang w:val="en-GB" w:eastAsia="en-GB"/>
        </w:rPr>
        <w:drawing>
          <wp:inline distT="0" distB="0" distL="0" distR="0" wp14:anchorId="571C7923" wp14:editId="18112EDA">
            <wp:extent cx="6124575" cy="19507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4">
                      <a:extLst>
                        <a:ext uri="{28A0092B-C50C-407E-A947-70E740481C1C}">
                          <a14:useLocalDpi xmlns:a14="http://schemas.microsoft.com/office/drawing/2010/main" val="0"/>
                        </a:ext>
                      </a:extLst>
                    </a:blip>
                    <a:stretch>
                      <a:fillRect/>
                    </a:stretch>
                  </pic:blipFill>
                  <pic:spPr>
                    <a:xfrm>
                      <a:off x="0" y="0"/>
                      <a:ext cx="6124575" cy="1950720"/>
                    </a:xfrm>
                    <a:prstGeom prst="rect">
                      <a:avLst/>
                    </a:prstGeom>
                  </pic:spPr>
                </pic:pic>
              </a:graphicData>
            </a:graphic>
          </wp:inline>
        </w:drawing>
      </w:r>
    </w:p>
    <w:p w14:paraId="2C5E9CAB" w14:textId="12607FC0" w:rsidR="0042003D" w:rsidRDefault="0042003D" w:rsidP="0042003D">
      <w:pPr>
        <w:pStyle w:val="ADMETfigurecaptions"/>
      </w:pPr>
      <w:proofErr w:type="gramStart"/>
      <w:r w:rsidRPr="00D91ABA">
        <w:rPr>
          <w:b/>
          <w:lang w:val="en-GB"/>
        </w:rPr>
        <w:t>Figure 1.</w:t>
      </w:r>
      <w:proofErr w:type="gramEnd"/>
      <w:r w:rsidRPr="00D91ABA">
        <w:rPr>
          <w:b/>
          <w:lang w:val="en-GB"/>
        </w:rPr>
        <w:t xml:space="preserve"> </w:t>
      </w:r>
      <w:r w:rsidRPr="00D91ABA">
        <w:rPr>
          <w:lang w:val="en-GB"/>
        </w:rPr>
        <w:t xml:space="preserve">Effect of incubation time and stirring in the determination of the skin permeability (log </w:t>
      </w:r>
      <w:proofErr w:type="spellStart"/>
      <w:proofErr w:type="gramStart"/>
      <w:r w:rsidRPr="0042003D">
        <w:rPr>
          <w:i/>
          <w:lang w:val="en-GB"/>
        </w:rPr>
        <w:t>K</w:t>
      </w:r>
      <w:r w:rsidRPr="00D91ABA">
        <w:rPr>
          <w:vertAlign w:val="subscript"/>
          <w:lang w:val="en-GB"/>
        </w:rPr>
        <w:t>p</w:t>
      </w:r>
      <w:proofErr w:type="spellEnd"/>
      <w:proofErr w:type="gramEnd"/>
      <w:r w:rsidRPr="00D91ABA">
        <w:rPr>
          <w:lang w:val="en-GB"/>
        </w:rPr>
        <w:t xml:space="preserve">) through the skin-PAMPA permeability (log </w:t>
      </w:r>
      <w:proofErr w:type="spellStart"/>
      <w:r w:rsidRPr="0042003D">
        <w:rPr>
          <w:i/>
          <w:lang w:val="en-GB"/>
        </w:rPr>
        <w:t>P</w:t>
      </w:r>
      <w:r w:rsidRPr="00D91ABA">
        <w:rPr>
          <w:vertAlign w:val="subscript"/>
          <w:lang w:val="en-GB"/>
        </w:rPr>
        <w:t>e</w:t>
      </w:r>
      <w:proofErr w:type="spellEnd"/>
      <w:r w:rsidRPr="00D91ABA">
        <w:rPr>
          <w:lang w:val="en-GB"/>
        </w:rPr>
        <w:t>). Incubation time: 30 minutes (</w:t>
      </w:r>
      <w:r w:rsidRPr="00D91ABA">
        <w:rPr>
          <w:b/>
          <w:lang w:val="en-GB"/>
        </w:rPr>
        <w:t>A</w:t>
      </w:r>
      <w:r w:rsidRPr="00D91ABA">
        <w:rPr>
          <w:lang w:val="en-GB"/>
        </w:rPr>
        <w:t>); 4 hours (</w:t>
      </w:r>
      <w:r w:rsidRPr="00D91ABA">
        <w:rPr>
          <w:b/>
          <w:lang w:val="en-GB"/>
        </w:rPr>
        <w:t>B</w:t>
      </w:r>
      <w:r w:rsidRPr="00D91ABA">
        <w:rPr>
          <w:lang w:val="en-GB"/>
        </w:rPr>
        <w:t>);</w:t>
      </w:r>
      <w:r w:rsidRPr="00D91ABA">
        <w:rPr>
          <w:b/>
          <w:lang w:val="en-GB"/>
        </w:rPr>
        <w:t xml:space="preserve"> </w:t>
      </w:r>
      <w:r w:rsidRPr="00D91ABA">
        <w:rPr>
          <w:lang w:val="en-GB"/>
        </w:rPr>
        <w:t>24 hours (</w:t>
      </w:r>
      <w:r w:rsidRPr="00D91ABA">
        <w:rPr>
          <w:b/>
          <w:lang w:val="en-GB"/>
        </w:rPr>
        <w:t>C</w:t>
      </w:r>
      <w:r w:rsidRPr="00D91ABA">
        <w:rPr>
          <w:lang w:val="en-GB"/>
        </w:rPr>
        <w:t>)</w:t>
      </w:r>
      <w:r w:rsidR="00BA67E5">
        <w:rPr>
          <w:lang w:val="en-GB"/>
        </w:rPr>
        <w:t>;</w:t>
      </w:r>
      <w:r w:rsidRPr="00D91ABA">
        <w:rPr>
          <w:lang w:val="en-GB"/>
        </w:rPr>
        <w:t xml:space="preserve"> </w:t>
      </w:r>
      <w:r w:rsidR="00BA67E5">
        <w:rPr>
          <w:lang w:val="en-GB"/>
        </w:rPr>
        <w:t>s</w:t>
      </w:r>
      <w:r w:rsidRPr="00D91ABA">
        <w:rPr>
          <w:lang w:val="en-GB"/>
        </w:rPr>
        <w:t>tirred assay (●)</w:t>
      </w:r>
      <w:r w:rsidR="00BA67E5">
        <w:rPr>
          <w:lang w:val="en-GB"/>
        </w:rPr>
        <w:t>;</w:t>
      </w:r>
      <w:r w:rsidRPr="00D91ABA">
        <w:rPr>
          <w:lang w:val="en-GB"/>
        </w:rPr>
        <w:t xml:space="preserve"> </w:t>
      </w:r>
      <w:r w:rsidR="00BA67E5">
        <w:rPr>
          <w:lang w:val="en-GB"/>
        </w:rPr>
        <w:t>n</w:t>
      </w:r>
      <w:r w:rsidRPr="00D91ABA">
        <w:rPr>
          <w:lang w:val="en-GB"/>
        </w:rPr>
        <w:t>on-stirred assay (</w:t>
      </w:r>
      <w:r w:rsidRPr="00D91ABA">
        <w:rPr>
          <w:rFonts w:ascii="Cambria Math" w:hAnsi="Cambria Math" w:cs="Cambria Math"/>
          <w:lang w:val="en-GB"/>
        </w:rPr>
        <w:t>⨉</w:t>
      </w:r>
      <w:r w:rsidRPr="00D91ABA">
        <w:rPr>
          <w:lang w:val="en-GB"/>
        </w:rPr>
        <w:t>).</w:t>
      </w:r>
    </w:p>
    <w:p w14:paraId="68EF8817" w14:textId="16A697A1" w:rsidR="002C32FE" w:rsidRPr="00D91ABA" w:rsidRDefault="002C32FE" w:rsidP="00D91ABA">
      <w:pPr>
        <w:pStyle w:val="ADMETtext"/>
      </w:pPr>
      <w:r w:rsidRPr="00D91ABA">
        <w:t xml:space="preserve">Relative to </w:t>
      </w:r>
      <w:r w:rsidR="00E3529A" w:rsidRPr="00D91ABA">
        <w:t xml:space="preserve">stirring and non-stirring </w:t>
      </w:r>
      <w:r w:rsidRPr="00D91ABA">
        <w:t xml:space="preserve">experiments, </w:t>
      </w:r>
      <w:r w:rsidR="009B66E3" w:rsidRPr="00D91ABA">
        <w:t xml:space="preserve">Table 1 shows the results obtained at different incubation times. </w:t>
      </w:r>
      <w:r w:rsidR="00B37B9D" w:rsidRPr="00D91ABA">
        <w:t xml:space="preserve">At </w:t>
      </w:r>
      <w:r w:rsidR="009B66E3" w:rsidRPr="00D91ABA">
        <w:t xml:space="preserve">30 minutes of incubation time </w:t>
      </w:r>
      <w:proofErr w:type="spellStart"/>
      <w:r w:rsidR="009B66E3" w:rsidRPr="00D91ABA">
        <w:t>flurbiprofen</w:t>
      </w:r>
      <w:proofErr w:type="spellEnd"/>
      <w:r w:rsidR="009B66E3" w:rsidRPr="00D91ABA">
        <w:t xml:space="preserve">, progesterone and ibuprofen show great log </w:t>
      </w:r>
      <w:proofErr w:type="spellStart"/>
      <w:r w:rsidR="009B66E3" w:rsidRPr="00BA67E5">
        <w:rPr>
          <w:i/>
        </w:rPr>
        <w:t>P</w:t>
      </w:r>
      <w:r w:rsidR="009B66E3" w:rsidRPr="00D91ABA">
        <w:rPr>
          <w:vertAlign w:val="subscript"/>
        </w:rPr>
        <w:t>e</w:t>
      </w:r>
      <w:proofErr w:type="spellEnd"/>
      <w:r w:rsidR="009B66E3" w:rsidRPr="00D91ABA">
        <w:t xml:space="preserve"> values in stirred assays</w:t>
      </w:r>
      <w:r w:rsidR="00B37B9D" w:rsidRPr="00D91ABA">
        <w:t xml:space="preserve"> compared to unstirred ones</w:t>
      </w:r>
      <w:r w:rsidR="009B66E3" w:rsidRPr="00D91ABA">
        <w:t xml:space="preserve">. </w:t>
      </w:r>
      <w:r w:rsidR="00F561E3" w:rsidRPr="00D91ABA">
        <w:t xml:space="preserve">This difference can be attributed to the presence of UWL due to the lipophilic character of the compounds (log </w:t>
      </w:r>
      <w:r w:rsidR="00F561E3" w:rsidRPr="00BA67E5">
        <w:rPr>
          <w:i/>
        </w:rPr>
        <w:t>P</w:t>
      </w:r>
      <w:r w:rsidR="00F561E3" w:rsidRPr="00D91ABA">
        <w:rPr>
          <w:vertAlign w:val="subscript"/>
        </w:rPr>
        <w:t>o/w</w:t>
      </w:r>
      <w:r w:rsidR="00F561E3" w:rsidRPr="00D91ABA">
        <w:t xml:space="preserve"> &gt; 3). </w:t>
      </w:r>
      <w:r w:rsidR="00F65856" w:rsidRPr="00D91ABA">
        <w:t xml:space="preserve">In this case, </w:t>
      </w:r>
      <w:r w:rsidR="00F561E3" w:rsidRPr="00D91ABA">
        <w:t>UWL</w:t>
      </w:r>
      <w:r w:rsidR="00F65856" w:rsidRPr="00D91ABA">
        <w:t xml:space="preserve"> ac</w:t>
      </w:r>
      <w:r w:rsidR="00FC6525" w:rsidRPr="00D91ABA">
        <w:t>ts as rate-limiting transport giving smaller permeability values</w:t>
      </w:r>
      <w:r w:rsidR="00F65856" w:rsidRPr="00D91ABA">
        <w:t xml:space="preserve">. </w:t>
      </w:r>
      <w:r w:rsidR="00B37B9D" w:rsidRPr="00D91ABA">
        <w:t xml:space="preserve">At </w:t>
      </w:r>
      <w:r w:rsidR="00F65856" w:rsidRPr="00D91ABA">
        <w:t>4 hours</w:t>
      </w:r>
      <w:r w:rsidR="00F561E3" w:rsidRPr="00D91ABA">
        <w:t xml:space="preserve"> of incubation</w:t>
      </w:r>
      <w:r w:rsidR="00F65856" w:rsidRPr="00D91ABA">
        <w:t xml:space="preserve">, log </w:t>
      </w:r>
      <w:proofErr w:type="spellStart"/>
      <w:r w:rsidR="00F65856" w:rsidRPr="00BA67E5">
        <w:rPr>
          <w:i/>
        </w:rPr>
        <w:t>P</w:t>
      </w:r>
      <w:r w:rsidR="00F65856" w:rsidRPr="00D91ABA">
        <w:rPr>
          <w:vertAlign w:val="subscript"/>
        </w:rPr>
        <w:t>e</w:t>
      </w:r>
      <w:proofErr w:type="spellEnd"/>
      <w:r w:rsidR="00F65856" w:rsidRPr="00D91ABA">
        <w:t xml:space="preserve"> values obtained from </w:t>
      </w:r>
      <w:r w:rsidR="00B17C8D" w:rsidRPr="00D91ABA">
        <w:t xml:space="preserve">experiments </w:t>
      </w:r>
      <w:r w:rsidR="00F65856" w:rsidRPr="00D91ABA">
        <w:t xml:space="preserve">with and without stirring are almost </w:t>
      </w:r>
      <w:r w:rsidR="00F561E3" w:rsidRPr="00D91ABA">
        <w:t>the same</w:t>
      </w:r>
      <w:r w:rsidR="00F65856" w:rsidRPr="00D91ABA">
        <w:t xml:space="preserve"> </w:t>
      </w:r>
      <w:r w:rsidR="003B01F4" w:rsidRPr="00D91ABA">
        <w:t>except for</w:t>
      </w:r>
      <w:r w:rsidR="00F65856" w:rsidRPr="00D91ABA">
        <w:t xml:space="preserve"> progesterone </w:t>
      </w:r>
      <w:r w:rsidR="00B17C8D" w:rsidRPr="00D91ABA">
        <w:t xml:space="preserve">(log </w:t>
      </w:r>
      <w:proofErr w:type="spellStart"/>
      <w:r w:rsidR="00B17C8D" w:rsidRPr="00BA67E5">
        <w:rPr>
          <w:i/>
        </w:rPr>
        <w:t>P</w:t>
      </w:r>
      <w:r w:rsidR="00B17C8D" w:rsidRPr="00D91ABA">
        <w:rPr>
          <w:vertAlign w:val="subscript"/>
        </w:rPr>
        <w:t>e</w:t>
      </w:r>
      <w:proofErr w:type="spellEnd"/>
      <w:r w:rsidR="00B17C8D" w:rsidRPr="00D91ABA">
        <w:t xml:space="preserve"> </w:t>
      </w:r>
      <w:r w:rsidR="00F561E3" w:rsidRPr="00D91ABA">
        <w:t>e</w:t>
      </w:r>
      <w:r w:rsidR="00B17C8D" w:rsidRPr="00D91ABA">
        <w:t>qual to – 4.</w:t>
      </w:r>
      <w:r w:rsidR="00E02273">
        <w:t>11</w:t>
      </w:r>
      <w:r w:rsidR="00B17C8D" w:rsidRPr="00D91ABA">
        <w:t xml:space="preserve"> and -4.88</w:t>
      </w:r>
      <w:r w:rsidR="00F561E3" w:rsidRPr="00D91ABA">
        <w:t xml:space="preserve">, </w:t>
      </w:r>
      <w:r w:rsidR="00B17C8D" w:rsidRPr="00D91ABA">
        <w:t xml:space="preserve">respectively) and 5-fluorouracil (log </w:t>
      </w:r>
      <w:proofErr w:type="spellStart"/>
      <w:r w:rsidR="00B17C8D" w:rsidRPr="00BA67E5">
        <w:rPr>
          <w:i/>
        </w:rPr>
        <w:t>P</w:t>
      </w:r>
      <w:r w:rsidR="00B17C8D" w:rsidRPr="00D91ABA">
        <w:rPr>
          <w:vertAlign w:val="subscript"/>
        </w:rPr>
        <w:t>e</w:t>
      </w:r>
      <w:proofErr w:type="spellEnd"/>
      <w:r w:rsidR="00B17C8D" w:rsidRPr="00D91ABA">
        <w:t xml:space="preserve"> </w:t>
      </w:r>
      <w:r w:rsidR="00F561E3" w:rsidRPr="00D91ABA">
        <w:t>e</w:t>
      </w:r>
      <w:r w:rsidR="00B17C8D" w:rsidRPr="00D91ABA">
        <w:t>qual to - 5.77 and -6.47, respectively).</w:t>
      </w:r>
      <w:r w:rsidR="00E20E3C" w:rsidRPr="00D91ABA">
        <w:t xml:space="preserve"> </w:t>
      </w:r>
      <w:r w:rsidR="005B5FB1" w:rsidRPr="00D91ABA">
        <w:t>For progesterone, this difference can be justified by the presence of UWL or the high membrane</w:t>
      </w:r>
      <w:r w:rsidR="00B14590" w:rsidRPr="00D91ABA">
        <w:t xml:space="preserve"> retention</w:t>
      </w:r>
      <w:r w:rsidR="005B5FB1" w:rsidRPr="00D91ABA">
        <w:t xml:space="preserve"> values</w:t>
      </w:r>
      <w:r w:rsidR="00B14590" w:rsidRPr="00D91ABA">
        <w:t xml:space="preserve">. The reason for 5-fluorouracil </w:t>
      </w:r>
      <w:r w:rsidR="0024506E" w:rsidRPr="00D91ABA">
        <w:t xml:space="preserve">is </w:t>
      </w:r>
      <w:r w:rsidR="00B14590" w:rsidRPr="00D91ABA">
        <w:t xml:space="preserve">unknown since it is </w:t>
      </w:r>
      <w:r w:rsidR="0024506E" w:rsidRPr="00D91ABA">
        <w:t>a very hydrophilic compo</w:t>
      </w:r>
      <w:r w:rsidR="00824583" w:rsidRPr="00D91ABA">
        <w:t xml:space="preserve">und and </w:t>
      </w:r>
      <w:r w:rsidR="007F1520" w:rsidRPr="00D91ABA">
        <w:t xml:space="preserve">therefore </w:t>
      </w:r>
      <w:r w:rsidR="00824583" w:rsidRPr="00D91ABA">
        <w:t xml:space="preserve">the difference </w:t>
      </w:r>
      <w:r w:rsidR="00F86090" w:rsidRPr="00D91ABA">
        <w:t xml:space="preserve">of values </w:t>
      </w:r>
      <w:r w:rsidR="00B14590" w:rsidRPr="00D91ABA">
        <w:t>cannot be a</w:t>
      </w:r>
      <w:r w:rsidR="00F86090" w:rsidRPr="00D91ABA">
        <w:t>ttributed</w:t>
      </w:r>
      <w:r w:rsidR="00824583" w:rsidRPr="00D91ABA">
        <w:t xml:space="preserve"> </w:t>
      </w:r>
      <w:r w:rsidR="00F86090" w:rsidRPr="00D91ABA">
        <w:t>to UWL effect</w:t>
      </w:r>
      <w:r w:rsidR="00474CF8" w:rsidRPr="00D91ABA">
        <w:t xml:space="preserve">. </w:t>
      </w:r>
      <w:r w:rsidR="00B37B9D" w:rsidRPr="00D91ABA">
        <w:t>In general, it seems that with</w:t>
      </w:r>
      <w:r w:rsidR="00474CF8" w:rsidRPr="00D91ABA">
        <w:t xml:space="preserve"> 4 hours</w:t>
      </w:r>
      <w:r w:rsidR="00B37B9D" w:rsidRPr="00D91ABA">
        <w:t xml:space="preserve"> of incubation time</w:t>
      </w:r>
      <w:r w:rsidR="00474CF8" w:rsidRPr="00D91ABA">
        <w:t xml:space="preserve"> the aqueous boundary layer </w:t>
      </w:r>
      <w:r w:rsidR="00B37B9D" w:rsidRPr="00D91ABA">
        <w:t>does</w:t>
      </w:r>
      <w:r w:rsidR="00474CF8" w:rsidRPr="00D91ABA">
        <w:t xml:space="preserve"> not have much effect </w:t>
      </w:r>
      <w:r w:rsidR="00B37B9D" w:rsidRPr="00D91ABA">
        <w:t>in</w:t>
      </w:r>
      <w:r w:rsidR="00474CF8" w:rsidRPr="00D91ABA">
        <w:t xml:space="preserve"> most compounds. </w:t>
      </w:r>
      <w:r w:rsidR="00B37B9D" w:rsidRPr="00D91ABA">
        <w:t xml:space="preserve">At </w:t>
      </w:r>
      <w:r w:rsidR="00474CF8" w:rsidRPr="00D91ABA">
        <w:t xml:space="preserve">24 hours, apart from </w:t>
      </w:r>
      <w:proofErr w:type="spellStart"/>
      <w:r w:rsidR="00474CF8" w:rsidRPr="00D91ABA">
        <w:t>flurbiprofen</w:t>
      </w:r>
      <w:proofErr w:type="spellEnd"/>
      <w:r w:rsidR="00474CF8" w:rsidRPr="00D91ABA">
        <w:t xml:space="preserve">, ibuprofen, and naproxen which </w:t>
      </w:r>
      <w:r w:rsidR="003E2CB5" w:rsidRPr="00D91ABA">
        <w:t>couldn’t be</w:t>
      </w:r>
      <w:r w:rsidR="00474CF8" w:rsidRPr="00D91ABA">
        <w:t xml:space="preserve"> </w:t>
      </w:r>
      <w:r w:rsidR="00B8646B" w:rsidRPr="00D91ABA">
        <w:t>evaluated</w:t>
      </w:r>
      <w:r w:rsidR="00474CF8" w:rsidRPr="00D91ABA">
        <w:t xml:space="preserve">, the results obtained with and without </w:t>
      </w:r>
      <w:r w:rsidR="00D62E2E" w:rsidRPr="00D91ABA">
        <w:t>stirring</w:t>
      </w:r>
      <w:r w:rsidR="00474CF8" w:rsidRPr="00D91ABA">
        <w:t xml:space="preserve"> are </w:t>
      </w:r>
      <w:r w:rsidR="00D62E2E" w:rsidRPr="00D91ABA">
        <w:t xml:space="preserve">practically </w:t>
      </w:r>
      <w:r w:rsidR="00F86090" w:rsidRPr="00D91ABA">
        <w:t>the same</w:t>
      </w:r>
      <w:r w:rsidR="00D62E2E" w:rsidRPr="00D91ABA">
        <w:t>.</w:t>
      </w:r>
    </w:p>
    <w:p w14:paraId="4844D4F0" w14:textId="19ABB8AC" w:rsidR="0056028A" w:rsidRPr="00D91ABA" w:rsidRDefault="00C87852" w:rsidP="00D91ABA">
      <w:pPr>
        <w:pStyle w:val="ADMETtext"/>
      </w:pPr>
      <w:r w:rsidRPr="00D91ABA">
        <w:t>The membrane retention value</w:t>
      </w:r>
      <w:r w:rsidR="00FE0A85" w:rsidRPr="00D91ABA">
        <w:t>s</w:t>
      </w:r>
      <w:r w:rsidRPr="00D91ABA">
        <w:t xml:space="preserve"> can </w:t>
      </w:r>
      <w:r w:rsidR="00F86090" w:rsidRPr="00D91ABA">
        <w:t>sometimes</w:t>
      </w:r>
      <w:r w:rsidRPr="00D91ABA">
        <w:t xml:space="preserve"> be very high depending</w:t>
      </w:r>
      <w:r w:rsidR="00FE0A85" w:rsidRPr="00D91ABA">
        <w:t xml:space="preserve"> on</w:t>
      </w:r>
      <w:r w:rsidRPr="00D91ABA">
        <w:t xml:space="preserve"> the </w:t>
      </w:r>
      <w:r w:rsidR="00FE0A85" w:rsidRPr="00D91ABA">
        <w:t>composition of the PAMPA membrane. For example, membranes made of 2</w:t>
      </w:r>
      <w:r w:rsidR="00BA67E5">
        <w:t xml:space="preserve"> </w:t>
      </w:r>
      <w:r w:rsidR="00FE0A85" w:rsidRPr="00D91ABA">
        <w:t>% DOPC</w:t>
      </w:r>
      <w:r w:rsidR="00B8646B" w:rsidRPr="00D91ABA">
        <w:t xml:space="preserve"> (</w:t>
      </w:r>
      <w:proofErr w:type="spellStart"/>
      <w:r w:rsidR="00B8646B" w:rsidRPr="00D91ABA">
        <w:t>dioleoylphosphatidylcholine</w:t>
      </w:r>
      <w:proofErr w:type="spellEnd"/>
      <w:r w:rsidR="00B8646B" w:rsidRPr="00D91ABA">
        <w:t>)</w:t>
      </w:r>
      <w:r w:rsidR="00FE0A85" w:rsidRPr="00D91ABA">
        <w:t xml:space="preserve"> dissolved in </w:t>
      </w:r>
      <w:proofErr w:type="spellStart"/>
      <w:r w:rsidR="00FE0A85" w:rsidRPr="00D91ABA">
        <w:t>dodecane</w:t>
      </w:r>
      <w:proofErr w:type="spellEnd"/>
      <w:r w:rsidR="00FE0A85" w:rsidRPr="00D91ABA">
        <w:t xml:space="preserve"> can have </w:t>
      </w:r>
      <w:r w:rsidR="00FE0A85" w:rsidRPr="00BA67E5">
        <w:rPr>
          <w:i/>
        </w:rPr>
        <w:t>R</w:t>
      </w:r>
      <w:r w:rsidR="00FE0A85" w:rsidRPr="00D91ABA">
        <w:rPr>
          <w:vertAlign w:val="subscript"/>
        </w:rPr>
        <w:t>M</w:t>
      </w:r>
      <w:r w:rsidR="00FE0A85" w:rsidRPr="00D91ABA">
        <w:t xml:space="preserve"> values higher than 0.80</w:t>
      </w:r>
      <w:r w:rsidR="003E2CB5" w:rsidRPr="00D91ABA">
        <w:t xml:space="preserve"> </w:t>
      </w:r>
      <w:r w:rsidR="003E2CB5" w:rsidRPr="00D91ABA">
        <w:fldChar w:fldCharType="begin" w:fldLock="1"/>
      </w:r>
      <w:r w:rsidR="001811C1" w:rsidRPr="00D91ABA">
        <w:instrText>ADDIN CSL_CITATION {"citationItems":[{"id":"ITEM-1","itemData":{"author":[{"dropping-particle":"","family":"Avdeef","given":"Alex","non-dropping-particle":"","parse-names":false,"suffix":""}],"id":"ITEM-1","issued":{"date-parts":[["2003"]]},"publisher":"John Wiley &amp; Sons, Inc","title":"Absorption and Drug Development: Solubility, Permeability, and Charge State","type":"book"},"uris":["http://www.mendeley.com/documents/?uuid=db307287-56f2-4105-9747-f4804c250810"]}],"mendeley":{"formattedCitation":"[4]","plainTextFormattedCitation":"[4]","previouslyFormattedCitation":"[4]"},"properties":{"noteIndex":0},"schema":"https://github.com/citation-style-language/schema/raw/master/csl-citation.json"}</w:instrText>
      </w:r>
      <w:r w:rsidR="003E2CB5" w:rsidRPr="00D91ABA">
        <w:fldChar w:fldCharType="separate"/>
      </w:r>
      <w:r w:rsidR="003E2CB5" w:rsidRPr="00D91ABA">
        <w:rPr>
          <w:noProof/>
        </w:rPr>
        <w:t>[4]</w:t>
      </w:r>
      <w:r w:rsidR="003E2CB5" w:rsidRPr="00D91ABA">
        <w:fldChar w:fldCharType="end"/>
      </w:r>
      <w:r w:rsidR="00FE0A85" w:rsidRPr="00D91ABA">
        <w:t>. In the case of</w:t>
      </w:r>
      <w:r w:rsidR="00F86090" w:rsidRPr="00D91ABA">
        <w:t xml:space="preserve"> the</w:t>
      </w:r>
      <w:r w:rsidR="00FE0A85" w:rsidRPr="00D91ABA">
        <w:t xml:space="preserve"> </w:t>
      </w:r>
      <w:r w:rsidR="000F4754" w:rsidRPr="00D91ABA">
        <w:t>skin-PAMPA</w:t>
      </w:r>
      <w:r w:rsidR="00FE0A85" w:rsidRPr="00D91ABA">
        <w:t xml:space="preserve"> membrane, </w:t>
      </w:r>
      <w:r w:rsidR="0085623C" w:rsidRPr="00D91ABA">
        <w:t xml:space="preserve">retention is </w:t>
      </w:r>
      <w:r w:rsidR="00D36FAA" w:rsidRPr="00D91ABA">
        <w:t>in general low and go</w:t>
      </w:r>
      <w:r w:rsidR="0085623C" w:rsidRPr="00D91ABA">
        <w:t>es</w:t>
      </w:r>
      <w:r w:rsidR="00D36FAA" w:rsidRPr="00D91ABA">
        <w:t xml:space="preserve"> from 0 to </w:t>
      </w:r>
      <w:r w:rsidR="00F86090" w:rsidRPr="00D91ABA">
        <w:t>0.</w:t>
      </w:r>
      <w:r w:rsidR="00D36FAA" w:rsidRPr="00D91ABA">
        <w:t>30</w:t>
      </w:r>
      <w:r w:rsidR="00E267A6" w:rsidRPr="00D91ABA">
        <w:t xml:space="preserve"> for most of the analyzed compounds</w:t>
      </w:r>
      <w:r w:rsidR="00631935" w:rsidRPr="00D91ABA">
        <w:t xml:space="preserve"> (see Table </w:t>
      </w:r>
      <w:r w:rsidR="00E267A6" w:rsidRPr="00D91ABA">
        <w:t>2</w:t>
      </w:r>
      <w:r w:rsidR="00631935" w:rsidRPr="00D91ABA">
        <w:t>)</w:t>
      </w:r>
      <w:r w:rsidR="00D36FAA" w:rsidRPr="00D91ABA">
        <w:t xml:space="preserve">, except </w:t>
      </w:r>
      <w:r w:rsidR="00F86090" w:rsidRPr="00D91ABA">
        <w:t xml:space="preserve">for </w:t>
      </w:r>
      <w:r w:rsidR="00D36FAA" w:rsidRPr="00D91ABA">
        <w:t>progesterone</w:t>
      </w:r>
      <w:r w:rsidR="003E2CB5" w:rsidRPr="00D91ABA">
        <w:t xml:space="preserve"> whose</w:t>
      </w:r>
      <w:r w:rsidR="00D36FAA" w:rsidRPr="00D91ABA">
        <w:t xml:space="preserve"> values</w:t>
      </w:r>
      <w:r w:rsidR="003E2CB5" w:rsidRPr="00D91ABA">
        <w:t xml:space="preserve"> are</w:t>
      </w:r>
      <w:r w:rsidR="00D36FAA" w:rsidRPr="00D91ABA">
        <w:t xml:space="preserve"> very high (0.</w:t>
      </w:r>
      <w:r w:rsidR="0044694F" w:rsidRPr="00D91ABA">
        <w:t>33</w:t>
      </w:r>
      <w:r w:rsidR="00D36FAA" w:rsidRPr="00D91ABA">
        <w:t>-0.8</w:t>
      </w:r>
      <w:r w:rsidR="0044694F" w:rsidRPr="00D91ABA">
        <w:t>8</w:t>
      </w:r>
      <w:r w:rsidR="00F86090" w:rsidRPr="00D91ABA">
        <w:t>)</w:t>
      </w:r>
      <w:r w:rsidR="00D36FAA" w:rsidRPr="00D91ABA">
        <w:t>.</w:t>
      </w:r>
      <w:r w:rsidR="00C44D20" w:rsidRPr="00D91ABA">
        <w:t xml:space="preserve"> </w:t>
      </w:r>
      <w:r w:rsidR="00C84AF6" w:rsidRPr="00D91ABA">
        <w:t>For some compounds t</w:t>
      </w:r>
      <w:r w:rsidR="00D36FAA" w:rsidRPr="00D91ABA">
        <w:t xml:space="preserve">his parameter </w:t>
      </w:r>
      <w:r w:rsidR="00C84AF6" w:rsidRPr="00D91ABA">
        <w:t xml:space="preserve">can </w:t>
      </w:r>
      <w:r w:rsidR="00D36FAA" w:rsidRPr="00D91ABA">
        <w:t>depend on the incubation time.</w:t>
      </w:r>
      <w:r w:rsidR="00631935" w:rsidRPr="00D91ABA">
        <w:t xml:space="preserve"> </w:t>
      </w:r>
      <w:r w:rsidR="00C84AF6" w:rsidRPr="00D91ABA">
        <w:t xml:space="preserve">For 5-fluorouracil, </w:t>
      </w:r>
      <w:proofErr w:type="spellStart"/>
      <w:r w:rsidR="00C84AF6" w:rsidRPr="00D91ABA">
        <w:t>aminopyrine</w:t>
      </w:r>
      <w:proofErr w:type="spellEnd"/>
      <w:r w:rsidR="00C84AF6" w:rsidRPr="00D91ABA">
        <w:t>, and hydrocortisone this parameter is almost null; minimum retention is observed only after 24</w:t>
      </w:r>
      <w:r w:rsidR="00BA67E5">
        <w:t xml:space="preserve"> </w:t>
      </w:r>
      <w:r w:rsidR="00C84AF6" w:rsidRPr="00D91ABA">
        <w:t xml:space="preserve">h of incubation. </w:t>
      </w:r>
      <w:r w:rsidR="002A4807" w:rsidRPr="00D91ABA">
        <w:t xml:space="preserve">Note that these compounds are quite </w:t>
      </w:r>
      <w:r w:rsidR="00E02273">
        <w:t>hydrophilic</w:t>
      </w:r>
      <w:r w:rsidR="002A4807" w:rsidRPr="00D91ABA">
        <w:t xml:space="preserve"> and are almost neutral at the pH of the determination. </w:t>
      </w:r>
      <w:r w:rsidR="00C84AF6" w:rsidRPr="00D91ABA">
        <w:t xml:space="preserve">Instead, for some other compounds </w:t>
      </w:r>
      <w:r w:rsidR="00C84AF6" w:rsidRPr="00D91ABA">
        <w:lastRenderedPageBreak/>
        <w:t xml:space="preserve">such as </w:t>
      </w:r>
      <w:proofErr w:type="spellStart"/>
      <w:r w:rsidR="00C84AF6" w:rsidRPr="00D91ABA">
        <w:t>digitoxin</w:t>
      </w:r>
      <w:proofErr w:type="spellEnd"/>
      <w:r w:rsidR="00C84AF6" w:rsidRPr="00D91ABA">
        <w:t xml:space="preserve">, </w:t>
      </w:r>
      <w:proofErr w:type="spellStart"/>
      <w:r w:rsidR="00C84AF6" w:rsidRPr="00D91ABA">
        <w:t>griseofulvin</w:t>
      </w:r>
      <w:proofErr w:type="spellEnd"/>
      <w:r w:rsidR="00C84AF6" w:rsidRPr="00D91ABA">
        <w:t xml:space="preserve"> and progesterone (all neutral compounds</w:t>
      </w:r>
      <w:r w:rsidR="002A4807" w:rsidRPr="00D91ABA">
        <w:t xml:space="preserve"> but with higher log </w:t>
      </w:r>
      <w:r w:rsidR="002A4807" w:rsidRPr="00BA67E5">
        <w:rPr>
          <w:i/>
        </w:rPr>
        <w:t>P</w:t>
      </w:r>
      <w:r w:rsidR="002A4807" w:rsidRPr="00D91ABA">
        <w:rPr>
          <w:vertAlign w:val="subscript"/>
        </w:rPr>
        <w:t>o/w</w:t>
      </w:r>
      <w:r w:rsidR="002A4807" w:rsidRPr="00D91ABA">
        <w:t xml:space="preserve"> values</w:t>
      </w:r>
      <w:r w:rsidR="00C84AF6" w:rsidRPr="00D91ABA">
        <w:t xml:space="preserve">) </w:t>
      </w:r>
      <w:r w:rsidR="000B75A9" w:rsidRPr="00D91ABA">
        <w:t>R</w:t>
      </w:r>
      <w:r w:rsidR="000B75A9" w:rsidRPr="00D91ABA">
        <w:rPr>
          <w:vertAlign w:val="subscript"/>
        </w:rPr>
        <w:t>M</w:t>
      </w:r>
      <w:r w:rsidR="00C84AF6" w:rsidRPr="00D91ABA">
        <w:t xml:space="preserve"> clearly increases with incubation time. </w:t>
      </w:r>
      <w:r w:rsidR="0056028A" w:rsidRPr="00D91ABA">
        <w:t xml:space="preserve">In the case </w:t>
      </w:r>
      <w:r w:rsidR="00DC4B75" w:rsidRPr="00D91ABA">
        <w:t xml:space="preserve">of </w:t>
      </w:r>
      <w:proofErr w:type="spellStart"/>
      <w:r w:rsidR="00DC4B75" w:rsidRPr="00D91ABA">
        <w:t>flurbiprofen</w:t>
      </w:r>
      <w:proofErr w:type="spellEnd"/>
      <w:r w:rsidR="00DC4B75" w:rsidRPr="00D91ABA">
        <w:t xml:space="preserve">, ibuprofen and naproxen, </w:t>
      </w:r>
      <w:r w:rsidR="00DC4B75" w:rsidRPr="00BA67E5">
        <w:rPr>
          <w:i/>
        </w:rPr>
        <w:t>R</w:t>
      </w:r>
      <w:r w:rsidR="00DC4B75" w:rsidRPr="00D91ABA">
        <w:rPr>
          <w:vertAlign w:val="subscript"/>
        </w:rPr>
        <w:t>M</w:t>
      </w:r>
      <w:r w:rsidR="00DC4B75" w:rsidRPr="00D91ABA">
        <w:t xml:space="preserve"> decrease</w:t>
      </w:r>
      <w:r w:rsidR="00F86090" w:rsidRPr="00D91ABA">
        <w:t>s</w:t>
      </w:r>
      <w:r w:rsidR="00DC4B75" w:rsidRPr="00D91ABA">
        <w:t xml:space="preserve"> as the incubation time increase</w:t>
      </w:r>
      <w:r w:rsidR="00F86090" w:rsidRPr="00D91ABA">
        <w:t>s</w:t>
      </w:r>
      <w:r w:rsidR="00E267A6" w:rsidRPr="00D91ABA">
        <w:t xml:space="preserve">. </w:t>
      </w:r>
      <w:r w:rsidR="00C84AF6" w:rsidRPr="00D91ABA">
        <w:t xml:space="preserve">These compounds are </w:t>
      </w:r>
      <w:r w:rsidR="00963215">
        <w:t>completely</w:t>
      </w:r>
      <w:r w:rsidR="00C84AF6" w:rsidRPr="00D91ABA">
        <w:t xml:space="preserve"> ionized at the pH of the acceptor compartment, and after some time they are all accumulated in there</w:t>
      </w:r>
      <w:r w:rsidR="000846E7" w:rsidRPr="00D91ABA">
        <w:t>,</w:t>
      </w:r>
      <w:r w:rsidR="00C84AF6" w:rsidRPr="00D91ABA">
        <w:t xml:space="preserve"> showing </w:t>
      </w:r>
      <w:r w:rsidR="000846E7" w:rsidRPr="00D91ABA">
        <w:t>negligible</w:t>
      </w:r>
      <w:r w:rsidR="00C84AF6" w:rsidRPr="00D91ABA">
        <w:t xml:space="preserve"> retention in the membrane. In general terms, this</w:t>
      </w:r>
      <w:r w:rsidR="00DC4B75" w:rsidRPr="00D91ABA">
        <w:t xml:space="preserve"> factor </w:t>
      </w:r>
      <w:r w:rsidR="00C84AF6" w:rsidRPr="00D91ABA">
        <w:t>is independent of stirring or not the solutions as observed for all compounds</w:t>
      </w:r>
      <w:r w:rsidR="00DC4B75" w:rsidRPr="00D91ABA">
        <w:t xml:space="preserve"> except</w:t>
      </w:r>
      <w:r w:rsidR="00FD5F86" w:rsidRPr="00D91ABA">
        <w:t xml:space="preserve"> for</w:t>
      </w:r>
      <w:r w:rsidR="00DC4B75" w:rsidRPr="00D91ABA">
        <w:t xml:space="preserve"> progesterone</w:t>
      </w:r>
      <w:r w:rsidR="00C84AF6" w:rsidRPr="00D91ABA">
        <w:t>,</w:t>
      </w:r>
      <w:r w:rsidR="00DC4B75" w:rsidRPr="00D91ABA">
        <w:t xml:space="preserve"> which retention factor increase</w:t>
      </w:r>
      <w:r w:rsidR="003E2CB5" w:rsidRPr="00D91ABA">
        <w:t>s</w:t>
      </w:r>
      <w:r w:rsidR="00DC4B75" w:rsidRPr="00D91ABA">
        <w:t xml:space="preserve"> with the stirring use.</w:t>
      </w:r>
    </w:p>
    <w:p w14:paraId="6A367B47" w14:textId="13C2CDD5" w:rsidR="000F1FEC" w:rsidRPr="00C470BA" w:rsidRDefault="00C470BA" w:rsidP="00C470BA">
      <w:pPr>
        <w:pStyle w:val="ADMETtablecaptions"/>
        <w:ind w:left="0" w:right="-278"/>
        <w:rPr>
          <w:lang w:val="en-GB"/>
        </w:rPr>
      </w:pPr>
      <w:proofErr w:type="gramStart"/>
      <w:r w:rsidRPr="00D91ABA">
        <w:rPr>
          <w:b/>
          <w:bCs/>
          <w:lang w:val="en-GB"/>
        </w:rPr>
        <w:t>Table 2.</w:t>
      </w:r>
      <w:proofErr w:type="gramEnd"/>
      <w:r w:rsidRPr="00D91ABA">
        <w:rPr>
          <w:b/>
          <w:bCs/>
          <w:lang w:val="en-GB"/>
        </w:rPr>
        <w:t xml:space="preserve"> </w:t>
      </w:r>
      <w:r w:rsidRPr="00D91ABA">
        <w:rPr>
          <w:lang w:val="en-GB"/>
        </w:rPr>
        <w:t>Membrane retention values of the neutral form of the drugs, obtained from skin-PAMPA assays with and without stirring at different incubation times</w:t>
      </w:r>
      <w:r w:rsidRPr="00D91ABA">
        <w:t>.</w:t>
      </w:r>
    </w:p>
    <w:tbl>
      <w:tblPr>
        <w:tblW w:w="10075" w:type="dxa"/>
        <w:jc w:val="center"/>
        <w:tblInd w:w="137" w:type="dxa"/>
        <w:tblLayout w:type="fixed"/>
        <w:tblCellMar>
          <w:left w:w="70" w:type="dxa"/>
          <w:right w:w="70" w:type="dxa"/>
        </w:tblCellMar>
        <w:tblLook w:val="04A0" w:firstRow="1" w:lastRow="0" w:firstColumn="1" w:lastColumn="0" w:noHBand="0" w:noVBand="1"/>
      </w:tblPr>
      <w:tblGrid>
        <w:gridCol w:w="1313"/>
        <w:gridCol w:w="764"/>
        <w:gridCol w:w="849"/>
        <w:gridCol w:w="680"/>
        <w:gridCol w:w="1077"/>
        <w:gridCol w:w="1077"/>
        <w:gridCol w:w="1081"/>
        <w:gridCol w:w="1073"/>
        <w:gridCol w:w="1077"/>
        <w:gridCol w:w="1077"/>
        <w:gridCol w:w="7"/>
      </w:tblGrid>
      <w:tr w:rsidR="00C470BA" w:rsidRPr="00571545" w14:paraId="31F54089" w14:textId="77777777" w:rsidTr="00571545">
        <w:trPr>
          <w:trHeight w:val="340"/>
          <w:jc w:val="center"/>
        </w:trPr>
        <w:tc>
          <w:tcPr>
            <w:tcW w:w="1313" w:type="dxa"/>
            <w:shd w:val="clear" w:color="auto" w:fill="auto"/>
            <w:noWrap/>
            <w:vAlign w:val="center"/>
          </w:tcPr>
          <w:p w14:paraId="194DAA6F" w14:textId="77777777" w:rsidR="00C470BA" w:rsidRPr="00571545" w:rsidRDefault="00C470BA" w:rsidP="00B02B76">
            <w:pPr>
              <w:spacing w:line="240" w:lineRule="auto"/>
              <w:jc w:val="left"/>
              <w:rPr>
                <w:rFonts w:cs="Calibri"/>
                <w:b/>
                <w:bCs/>
                <w:color w:val="auto"/>
                <w:sz w:val="18"/>
                <w:szCs w:val="18"/>
                <w:lang w:val="en-GB" w:eastAsia="es-ES"/>
              </w:rPr>
            </w:pPr>
          </w:p>
        </w:tc>
        <w:tc>
          <w:tcPr>
            <w:tcW w:w="764" w:type="dxa"/>
            <w:vAlign w:val="center"/>
          </w:tcPr>
          <w:p w14:paraId="53901E65" w14:textId="77777777" w:rsidR="00C470BA" w:rsidRPr="00571545" w:rsidRDefault="00C470BA" w:rsidP="00B02B76">
            <w:pPr>
              <w:spacing w:line="240" w:lineRule="auto"/>
              <w:jc w:val="center"/>
              <w:rPr>
                <w:rFonts w:cs="Calibri"/>
                <w:b/>
                <w:bCs/>
                <w:color w:val="auto"/>
                <w:sz w:val="18"/>
                <w:szCs w:val="18"/>
                <w:lang w:val="en-GB" w:eastAsia="es-ES"/>
              </w:rPr>
            </w:pPr>
          </w:p>
        </w:tc>
        <w:tc>
          <w:tcPr>
            <w:tcW w:w="849" w:type="dxa"/>
            <w:vAlign w:val="center"/>
          </w:tcPr>
          <w:p w14:paraId="5AEAD9C3" w14:textId="77777777" w:rsidR="00C470BA" w:rsidRPr="00571545" w:rsidRDefault="00C470BA" w:rsidP="00B02B76">
            <w:pPr>
              <w:spacing w:line="240" w:lineRule="auto"/>
              <w:jc w:val="center"/>
              <w:rPr>
                <w:rFonts w:cs="Calibri"/>
                <w:b/>
                <w:bCs/>
                <w:color w:val="auto"/>
                <w:sz w:val="18"/>
                <w:szCs w:val="18"/>
                <w:lang w:val="en-GB" w:eastAsia="es-ES"/>
              </w:rPr>
            </w:pPr>
          </w:p>
        </w:tc>
        <w:tc>
          <w:tcPr>
            <w:tcW w:w="680" w:type="dxa"/>
            <w:vAlign w:val="center"/>
          </w:tcPr>
          <w:p w14:paraId="7EB0FC35" w14:textId="77777777" w:rsidR="00C470BA" w:rsidRPr="00571545" w:rsidRDefault="00C470BA" w:rsidP="00B02B76">
            <w:pPr>
              <w:spacing w:line="240" w:lineRule="auto"/>
              <w:jc w:val="center"/>
              <w:rPr>
                <w:rFonts w:cs="Calibri"/>
                <w:b/>
                <w:bCs/>
                <w:color w:val="auto"/>
                <w:sz w:val="18"/>
                <w:szCs w:val="18"/>
                <w:lang w:val="en-GB" w:eastAsia="es-ES"/>
              </w:rPr>
            </w:pPr>
          </w:p>
        </w:tc>
        <w:tc>
          <w:tcPr>
            <w:tcW w:w="6469" w:type="dxa"/>
            <w:gridSpan w:val="7"/>
            <w:tcBorders>
              <w:top w:val="single" w:sz="4" w:space="0" w:color="auto"/>
              <w:bottom w:val="single" w:sz="4" w:space="0" w:color="auto"/>
            </w:tcBorders>
            <w:shd w:val="clear" w:color="auto" w:fill="auto"/>
            <w:noWrap/>
            <w:vAlign w:val="center"/>
          </w:tcPr>
          <w:p w14:paraId="66C86C72"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i/>
                <w:color w:val="auto"/>
                <w:sz w:val="18"/>
                <w:szCs w:val="18"/>
                <w:lang w:val="es-ES" w:eastAsia="es-ES"/>
              </w:rPr>
              <w:t>R</w:t>
            </w:r>
            <w:r w:rsidRPr="00571545">
              <w:rPr>
                <w:rFonts w:cs="Calibri"/>
                <w:b/>
                <w:bCs/>
                <w:color w:val="auto"/>
                <w:sz w:val="18"/>
                <w:szCs w:val="18"/>
                <w:vertAlign w:val="subscript"/>
                <w:lang w:val="es-ES" w:eastAsia="es-ES"/>
              </w:rPr>
              <w:t>M</w:t>
            </w:r>
          </w:p>
        </w:tc>
      </w:tr>
      <w:tr w:rsidR="00C470BA" w:rsidRPr="00571545" w14:paraId="6A499EE6" w14:textId="77777777" w:rsidTr="00571545">
        <w:trPr>
          <w:trHeight w:val="340"/>
          <w:jc w:val="center"/>
        </w:trPr>
        <w:tc>
          <w:tcPr>
            <w:tcW w:w="1313" w:type="dxa"/>
            <w:shd w:val="clear" w:color="auto" w:fill="auto"/>
            <w:noWrap/>
            <w:vAlign w:val="center"/>
          </w:tcPr>
          <w:p w14:paraId="28B9898F" w14:textId="77777777" w:rsidR="00C470BA" w:rsidRPr="00571545" w:rsidRDefault="00C470BA" w:rsidP="00B02B76">
            <w:pPr>
              <w:spacing w:line="240" w:lineRule="auto"/>
              <w:jc w:val="left"/>
              <w:rPr>
                <w:rFonts w:cs="Calibri"/>
                <w:b/>
                <w:bCs/>
                <w:color w:val="auto"/>
                <w:sz w:val="18"/>
                <w:szCs w:val="18"/>
                <w:lang w:val="es-ES" w:eastAsia="es-ES"/>
              </w:rPr>
            </w:pPr>
          </w:p>
        </w:tc>
        <w:tc>
          <w:tcPr>
            <w:tcW w:w="764" w:type="dxa"/>
            <w:vAlign w:val="center"/>
          </w:tcPr>
          <w:p w14:paraId="70DEF8DB" w14:textId="77777777" w:rsidR="00C470BA" w:rsidRPr="00571545" w:rsidRDefault="00C470BA" w:rsidP="00B02B76">
            <w:pPr>
              <w:spacing w:line="240" w:lineRule="auto"/>
              <w:jc w:val="center"/>
              <w:rPr>
                <w:rFonts w:cs="Calibri"/>
                <w:b/>
                <w:bCs/>
                <w:color w:val="auto"/>
                <w:sz w:val="18"/>
                <w:szCs w:val="18"/>
                <w:lang w:val="es-ES" w:eastAsia="es-ES"/>
              </w:rPr>
            </w:pPr>
          </w:p>
        </w:tc>
        <w:tc>
          <w:tcPr>
            <w:tcW w:w="849" w:type="dxa"/>
            <w:vAlign w:val="center"/>
          </w:tcPr>
          <w:p w14:paraId="34FDD575" w14:textId="77777777" w:rsidR="00C470BA" w:rsidRPr="00571545" w:rsidRDefault="00C470BA" w:rsidP="00B02B76">
            <w:pPr>
              <w:spacing w:line="240" w:lineRule="auto"/>
              <w:jc w:val="center"/>
              <w:rPr>
                <w:rFonts w:cs="Calibri"/>
                <w:b/>
                <w:bCs/>
                <w:color w:val="auto"/>
                <w:sz w:val="18"/>
                <w:szCs w:val="18"/>
                <w:lang w:val="es-ES" w:eastAsia="es-ES"/>
              </w:rPr>
            </w:pPr>
          </w:p>
        </w:tc>
        <w:tc>
          <w:tcPr>
            <w:tcW w:w="680" w:type="dxa"/>
            <w:vAlign w:val="center"/>
          </w:tcPr>
          <w:p w14:paraId="08F2B290" w14:textId="77777777" w:rsidR="00C470BA" w:rsidRPr="00571545" w:rsidRDefault="00C470BA" w:rsidP="00B02B76">
            <w:pPr>
              <w:spacing w:line="240" w:lineRule="auto"/>
              <w:jc w:val="center"/>
              <w:rPr>
                <w:rFonts w:cs="Calibri"/>
                <w:b/>
                <w:bCs/>
                <w:color w:val="auto"/>
                <w:sz w:val="18"/>
                <w:szCs w:val="18"/>
                <w:lang w:val="es-ES" w:eastAsia="es-ES"/>
              </w:rPr>
            </w:pPr>
          </w:p>
        </w:tc>
        <w:tc>
          <w:tcPr>
            <w:tcW w:w="3235" w:type="dxa"/>
            <w:gridSpan w:val="3"/>
            <w:tcBorders>
              <w:top w:val="single" w:sz="4" w:space="0" w:color="auto"/>
              <w:bottom w:val="single" w:sz="4" w:space="0" w:color="auto"/>
            </w:tcBorders>
            <w:shd w:val="clear" w:color="auto" w:fill="auto"/>
            <w:noWrap/>
            <w:vAlign w:val="center"/>
          </w:tcPr>
          <w:p w14:paraId="61B8F59C" w14:textId="77777777" w:rsidR="00C470BA" w:rsidRPr="00571545" w:rsidRDefault="00C470BA" w:rsidP="00B02B76">
            <w:pPr>
              <w:spacing w:line="240" w:lineRule="auto"/>
              <w:jc w:val="center"/>
              <w:rPr>
                <w:rFonts w:cs="Calibri"/>
                <w:b/>
                <w:bCs/>
                <w:color w:val="auto"/>
                <w:sz w:val="18"/>
                <w:szCs w:val="18"/>
                <w:lang w:val="es-ES" w:eastAsia="es-ES"/>
              </w:rPr>
            </w:pPr>
            <w:proofErr w:type="spellStart"/>
            <w:r w:rsidRPr="00571545">
              <w:rPr>
                <w:rFonts w:cs="Calibri"/>
                <w:b/>
                <w:bCs/>
                <w:color w:val="auto"/>
                <w:sz w:val="18"/>
                <w:szCs w:val="18"/>
                <w:lang w:val="es-ES" w:eastAsia="es-ES"/>
              </w:rPr>
              <w:t>With</w:t>
            </w:r>
            <w:proofErr w:type="spellEnd"/>
            <w:r w:rsidRPr="00571545">
              <w:rPr>
                <w:rFonts w:cs="Calibri"/>
                <w:b/>
                <w:bCs/>
                <w:color w:val="auto"/>
                <w:sz w:val="18"/>
                <w:szCs w:val="18"/>
                <w:lang w:val="es-ES" w:eastAsia="es-ES"/>
              </w:rPr>
              <w:t xml:space="preserve"> </w:t>
            </w:r>
            <w:proofErr w:type="spellStart"/>
            <w:r w:rsidRPr="00571545">
              <w:rPr>
                <w:rFonts w:cs="Calibri"/>
                <w:b/>
                <w:bCs/>
                <w:color w:val="auto"/>
                <w:sz w:val="18"/>
                <w:szCs w:val="18"/>
                <w:lang w:val="es-ES" w:eastAsia="es-ES"/>
              </w:rPr>
              <w:t>stirring</w:t>
            </w:r>
            <w:proofErr w:type="spellEnd"/>
          </w:p>
        </w:tc>
        <w:tc>
          <w:tcPr>
            <w:tcW w:w="3234" w:type="dxa"/>
            <w:gridSpan w:val="4"/>
            <w:tcBorders>
              <w:top w:val="single" w:sz="4" w:space="0" w:color="auto"/>
              <w:bottom w:val="single" w:sz="4" w:space="0" w:color="auto"/>
            </w:tcBorders>
            <w:shd w:val="clear" w:color="auto" w:fill="auto"/>
            <w:noWrap/>
            <w:vAlign w:val="center"/>
          </w:tcPr>
          <w:p w14:paraId="0FB33D76" w14:textId="77777777" w:rsidR="00C470BA" w:rsidRPr="00571545" w:rsidRDefault="00C470BA" w:rsidP="00B02B76">
            <w:pPr>
              <w:spacing w:line="240" w:lineRule="auto"/>
              <w:jc w:val="center"/>
              <w:rPr>
                <w:rFonts w:cs="Calibri"/>
                <w:b/>
                <w:bCs/>
                <w:color w:val="auto"/>
                <w:sz w:val="18"/>
                <w:szCs w:val="18"/>
                <w:lang w:val="es-ES" w:eastAsia="es-ES"/>
              </w:rPr>
            </w:pPr>
            <w:proofErr w:type="spellStart"/>
            <w:r w:rsidRPr="00571545">
              <w:rPr>
                <w:rFonts w:cs="Calibri"/>
                <w:b/>
                <w:bCs/>
                <w:color w:val="auto"/>
                <w:sz w:val="18"/>
                <w:szCs w:val="18"/>
                <w:lang w:val="es-ES" w:eastAsia="es-ES"/>
              </w:rPr>
              <w:t>Without</w:t>
            </w:r>
            <w:proofErr w:type="spellEnd"/>
            <w:r w:rsidRPr="00571545">
              <w:rPr>
                <w:rFonts w:cs="Calibri"/>
                <w:b/>
                <w:bCs/>
                <w:color w:val="auto"/>
                <w:sz w:val="18"/>
                <w:szCs w:val="18"/>
                <w:lang w:val="es-ES" w:eastAsia="es-ES"/>
              </w:rPr>
              <w:t xml:space="preserve"> </w:t>
            </w:r>
            <w:proofErr w:type="spellStart"/>
            <w:r w:rsidRPr="00571545">
              <w:rPr>
                <w:rFonts w:cs="Calibri"/>
                <w:b/>
                <w:bCs/>
                <w:color w:val="auto"/>
                <w:sz w:val="18"/>
                <w:szCs w:val="18"/>
                <w:lang w:val="es-ES" w:eastAsia="es-ES"/>
              </w:rPr>
              <w:t>stirring</w:t>
            </w:r>
            <w:proofErr w:type="spellEnd"/>
          </w:p>
        </w:tc>
      </w:tr>
      <w:tr w:rsidR="00C470BA" w:rsidRPr="00571545" w14:paraId="59D326E0" w14:textId="77777777" w:rsidTr="00571545">
        <w:trPr>
          <w:gridAfter w:val="1"/>
          <w:wAfter w:w="7" w:type="dxa"/>
          <w:trHeight w:val="340"/>
          <w:jc w:val="center"/>
        </w:trPr>
        <w:tc>
          <w:tcPr>
            <w:tcW w:w="1313" w:type="dxa"/>
            <w:tcBorders>
              <w:top w:val="single" w:sz="4" w:space="0" w:color="auto"/>
              <w:bottom w:val="single" w:sz="4" w:space="0" w:color="auto"/>
            </w:tcBorders>
            <w:shd w:val="clear" w:color="auto" w:fill="auto"/>
            <w:noWrap/>
            <w:vAlign w:val="center"/>
            <w:hideMark/>
          </w:tcPr>
          <w:p w14:paraId="2561BEE3" w14:textId="12ED7BAD" w:rsidR="00C470BA" w:rsidRPr="00571545" w:rsidRDefault="00C470BA" w:rsidP="00B02B76">
            <w:pPr>
              <w:spacing w:line="240" w:lineRule="auto"/>
              <w:jc w:val="left"/>
              <w:rPr>
                <w:rFonts w:cs="Calibri"/>
                <w:b/>
                <w:bCs/>
                <w:color w:val="auto"/>
                <w:sz w:val="18"/>
                <w:szCs w:val="18"/>
                <w:lang w:val="es-ES" w:eastAsia="es-ES"/>
              </w:rPr>
            </w:pPr>
            <w:proofErr w:type="spellStart"/>
            <w:r w:rsidRPr="00571545">
              <w:rPr>
                <w:rFonts w:cs="Calibri"/>
                <w:b/>
                <w:bCs/>
                <w:color w:val="auto"/>
                <w:sz w:val="18"/>
                <w:szCs w:val="18"/>
                <w:lang w:val="es-ES" w:eastAsia="es-ES"/>
              </w:rPr>
              <w:t>Solut</w:t>
            </w:r>
            <w:r w:rsidR="00571545">
              <w:rPr>
                <w:rFonts w:cs="Calibri"/>
                <w:b/>
                <w:bCs/>
                <w:color w:val="auto"/>
                <w:sz w:val="18"/>
                <w:szCs w:val="18"/>
                <w:lang w:val="es-ES" w:eastAsia="es-ES"/>
              </w:rPr>
              <w:t>e</w:t>
            </w:r>
            <w:r w:rsidRPr="00571545">
              <w:rPr>
                <w:rFonts w:cs="Calibri"/>
                <w:b/>
                <w:bCs/>
                <w:color w:val="auto"/>
                <w:sz w:val="18"/>
                <w:szCs w:val="18"/>
                <w:lang w:val="es-ES" w:eastAsia="es-ES"/>
              </w:rPr>
              <w:t>s</w:t>
            </w:r>
            <w:proofErr w:type="spellEnd"/>
          </w:p>
        </w:tc>
        <w:tc>
          <w:tcPr>
            <w:tcW w:w="764" w:type="dxa"/>
            <w:tcBorders>
              <w:top w:val="single" w:sz="4" w:space="0" w:color="auto"/>
              <w:bottom w:val="single" w:sz="4" w:space="0" w:color="auto"/>
            </w:tcBorders>
            <w:vAlign w:val="center"/>
          </w:tcPr>
          <w:p w14:paraId="31E4E26F"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 xml:space="preserve">log </w:t>
            </w:r>
            <w:proofErr w:type="spellStart"/>
            <w:r w:rsidRPr="00571545">
              <w:rPr>
                <w:rFonts w:cs="Calibri"/>
                <w:b/>
                <w:bCs/>
                <w:i/>
                <w:color w:val="auto"/>
                <w:sz w:val="18"/>
                <w:szCs w:val="18"/>
                <w:lang w:val="es-ES" w:eastAsia="es-ES"/>
              </w:rPr>
              <w:t>K</w:t>
            </w:r>
            <w:r w:rsidRPr="00571545">
              <w:rPr>
                <w:rFonts w:cs="Calibri"/>
                <w:b/>
                <w:bCs/>
                <w:color w:val="auto"/>
                <w:sz w:val="18"/>
                <w:szCs w:val="18"/>
                <w:vertAlign w:val="subscript"/>
                <w:lang w:val="es-ES" w:eastAsia="es-ES"/>
              </w:rPr>
              <w:t>p</w:t>
            </w:r>
            <w:proofErr w:type="spellEnd"/>
            <w:r w:rsidRPr="00571545">
              <w:rPr>
                <w:rFonts w:cs="Calibri"/>
                <w:b/>
                <w:bCs/>
                <w:color w:val="auto"/>
                <w:sz w:val="18"/>
                <w:szCs w:val="18"/>
                <w:lang w:val="es-ES" w:eastAsia="es-ES"/>
              </w:rPr>
              <w:t xml:space="preserve"> </w:t>
            </w:r>
            <w:r w:rsidRPr="00571545">
              <w:rPr>
                <w:rFonts w:cs="Calibri"/>
                <w:b/>
                <w:bCs/>
                <w:color w:val="auto"/>
                <w:sz w:val="18"/>
                <w:szCs w:val="18"/>
                <w:lang w:val="es-ES" w:eastAsia="es-ES"/>
              </w:rPr>
              <w:fldChar w:fldCharType="begin" w:fldLock="1"/>
            </w:r>
            <w:r w:rsidRPr="00571545">
              <w:rPr>
                <w:rFonts w:cs="Calibri"/>
                <w:b/>
                <w:bCs/>
                <w:color w:val="auto"/>
                <w:sz w:val="18"/>
                <w:szCs w:val="18"/>
                <w:lang w:val="es-ES" w:eastAsia="es-ES"/>
              </w:rPr>
              <w:instrText>ADDIN CSL_CITATION {"citationItems":[{"id":"ITEM-1","itemData":{"DOI":"10.1016/j.ijpharm.2017.02.059","ISSN":"18733476","abstract":"Experimental values of permeability coefficients, as log Kp, of chemical compounds across human skin were collected by carefully screening the literature, and adjusted to 37 °C for the effect of temperature. The values of log Kpfor partially ionized acids and bases were separated into those for their neutral and ionic species, forming a total data set of 247 compounds and species (including 35 ionic species). The obtained log Kpvalues have been regressed against Abraham solute descriptors to yield a correlation equation with R2 = 0.866 and SD = 0.432 log units. The equation can provide valid predictions for log Kpof neutral molecules, ions and ionic species, with predictive R2 = 0.858 and predictive SD = 0.445 log units calculated by the leave-one-out statistics. The predicted log Kpvalues for Na+and Et4N+are in good agreement with the observed values. We calculated the values of log Kpof ketoprofen as a function of the pH of the donor solution, and found that log Kpmarkedly varies only when ketoprofen is largely ionized. This explains why models that neglect ionization of permeants still yield reasonable statistical results. The effect of skin thickness on log Kpwas investigated by inclusion of two indicator variables, one for intermediate thickness skin and one for full thickness skin, into the above equation. The newly obtained equations were found to be statistically very close to the above equation. Therefore, the thickness of human skin used makes little difference to the experimental values of log Kp.","author":[{"dropping-particle":"","family":"Zhang","given":"Keda","non-dropping-particle":"","parse-names":false,"suffix":""},{"dropping-particle":"","family":"Abraham","given":"Michael H.","non-dropping-particle":"","parse-names":false,"suffix":""},{"dropping-particle":"","family":"Liu","given":"Xiangli","non-dropping-particle":"","parse-names":false,"suffix":""}],"container-title":"International Journal of Pharmaceutics","id":"ITEM-1","issue":"1-2","issued":{"date-parts":[["2017"]]},"page":"259-266","publisher":"Elsevier B.V.","title":"An equation for the prediction of human skin permeability of neutral molecules, ions and ionic species","type":"article-journal","volume":"521"},"uris":["http://www.mendeley.com/documents/?uuid=ec1b31d8-8244-4c46-ac8d-c8080cda3b28"]}],"mendeley":{"formattedCitation":"[18]","plainTextFormattedCitation":"[18]","previouslyFormattedCitation":"[18]"},"properties":{"noteIndex":0},"schema":"https://github.com/citation-style-language/schema/raw/master/csl-citation.json"}</w:instrText>
            </w:r>
            <w:r w:rsidRPr="00571545">
              <w:rPr>
                <w:rFonts w:cs="Calibri"/>
                <w:b/>
                <w:bCs/>
                <w:color w:val="auto"/>
                <w:sz w:val="18"/>
                <w:szCs w:val="18"/>
                <w:lang w:val="es-ES" w:eastAsia="es-ES"/>
              </w:rPr>
              <w:fldChar w:fldCharType="separate"/>
            </w:r>
            <w:r w:rsidRPr="00571545">
              <w:rPr>
                <w:rFonts w:cs="Calibri"/>
                <w:bCs/>
                <w:noProof/>
                <w:color w:val="auto"/>
                <w:sz w:val="18"/>
                <w:szCs w:val="18"/>
                <w:lang w:val="es-ES" w:eastAsia="es-ES"/>
              </w:rPr>
              <w:t>[18]</w:t>
            </w:r>
            <w:r w:rsidRPr="00571545">
              <w:rPr>
                <w:rFonts w:cs="Calibri"/>
                <w:b/>
                <w:bCs/>
                <w:color w:val="auto"/>
                <w:sz w:val="18"/>
                <w:szCs w:val="18"/>
                <w:lang w:val="es-ES" w:eastAsia="es-ES"/>
              </w:rPr>
              <w:fldChar w:fldCharType="end"/>
            </w:r>
          </w:p>
        </w:tc>
        <w:tc>
          <w:tcPr>
            <w:tcW w:w="849" w:type="dxa"/>
            <w:tcBorders>
              <w:top w:val="single" w:sz="4" w:space="0" w:color="auto"/>
              <w:bottom w:val="single" w:sz="4" w:space="0" w:color="auto"/>
            </w:tcBorders>
            <w:vAlign w:val="center"/>
          </w:tcPr>
          <w:p w14:paraId="34CF793E" w14:textId="42670A5B" w:rsidR="00C470BA" w:rsidRPr="00571545" w:rsidRDefault="00C470BA" w:rsidP="008D4DAD">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 xml:space="preserve">log </w:t>
            </w:r>
            <w:r w:rsidRPr="00571545">
              <w:rPr>
                <w:rFonts w:cs="Calibri"/>
                <w:b/>
                <w:bCs/>
                <w:i/>
                <w:color w:val="auto"/>
                <w:sz w:val="18"/>
                <w:szCs w:val="18"/>
                <w:lang w:val="es-ES" w:eastAsia="es-ES"/>
              </w:rPr>
              <w:t>P</w:t>
            </w:r>
            <w:r w:rsidRPr="00571545">
              <w:rPr>
                <w:rFonts w:cs="Calibri"/>
                <w:b/>
                <w:bCs/>
                <w:color w:val="auto"/>
                <w:sz w:val="18"/>
                <w:szCs w:val="18"/>
                <w:vertAlign w:val="subscript"/>
                <w:lang w:val="es-ES" w:eastAsia="es-ES"/>
              </w:rPr>
              <w:t xml:space="preserve">o/w </w:t>
            </w:r>
            <w:r w:rsidRPr="00571545">
              <w:rPr>
                <w:rFonts w:cs="Calibri"/>
                <w:b/>
                <w:bCs/>
                <w:color w:val="auto"/>
                <w:sz w:val="18"/>
                <w:szCs w:val="18"/>
                <w:vertAlign w:val="subscript"/>
                <w:lang w:val="es-ES" w:eastAsia="es-ES"/>
              </w:rPr>
              <w:fldChar w:fldCharType="begin" w:fldLock="1"/>
            </w:r>
            <w:r w:rsidRPr="00571545">
              <w:rPr>
                <w:rFonts w:cs="Calibri"/>
                <w:b/>
                <w:bCs/>
                <w:color w:val="auto"/>
                <w:sz w:val="18"/>
                <w:szCs w:val="18"/>
                <w:vertAlign w:val="subscript"/>
                <w:lang w:val="es-ES" w:eastAsia="es-ES"/>
              </w:rPr>
              <w:instrText>ADDIN CSL_CITATION {"citationItems":[{"id":"ITEM-1","itemData":{"id":"ITEM-1","issued":{"date-parts":[["0"]]},"title":"Bio-Loom, 2017. BioByte Corp. Claremont, CA, USA. www.biobyte.com","type":"article"},"uris":["http://www.mendeley.com/documents/?uuid=50c5563f-f534-4617-9898-bd44ae7ab2bd"]}],"mendeley":{"formattedCitation":"[20]","plainTextFormattedCitation":"[20]","previouslyFormattedCitation":"[19]"},"properties":{"noteIndex":0},"schema":"https://github.com/citation-style-language/schema/raw/master/csl-citation.json"}</w:instrText>
            </w:r>
            <w:r w:rsidRPr="00571545">
              <w:rPr>
                <w:rFonts w:cs="Calibri"/>
                <w:b/>
                <w:bCs/>
                <w:color w:val="auto"/>
                <w:sz w:val="18"/>
                <w:szCs w:val="18"/>
                <w:vertAlign w:val="subscript"/>
                <w:lang w:val="es-ES" w:eastAsia="es-ES"/>
              </w:rPr>
              <w:fldChar w:fldCharType="separate"/>
            </w:r>
            <w:r w:rsidRPr="00571545">
              <w:rPr>
                <w:rFonts w:cs="Calibri"/>
                <w:bCs/>
                <w:noProof/>
                <w:color w:val="auto"/>
                <w:sz w:val="18"/>
                <w:szCs w:val="18"/>
                <w:lang w:val="es-ES" w:eastAsia="es-ES"/>
              </w:rPr>
              <w:t>[</w:t>
            </w:r>
            <w:r w:rsidR="008D4DAD">
              <w:rPr>
                <w:rFonts w:cs="Calibri"/>
                <w:bCs/>
                <w:noProof/>
                <w:color w:val="auto"/>
                <w:sz w:val="18"/>
                <w:szCs w:val="18"/>
                <w:lang w:val="es-ES" w:eastAsia="es-ES"/>
              </w:rPr>
              <w:t>19</w:t>
            </w:r>
            <w:r w:rsidRPr="00571545">
              <w:rPr>
                <w:rFonts w:cs="Calibri"/>
                <w:bCs/>
                <w:noProof/>
                <w:color w:val="auto"/>
                <w:sz w:val="18"/>
                <w:szCs w:val="18"/>
                <w:lang w:val="es-ES" w:eastAsia="es-ES"/>
              </w:rPr>
              <w:t>]</w:t>
            </w:r>
            <w:r w:rsidRPr="00571545">
              <w:rPr>
                <w:rFonts w:cs="Calibri"/>
                <w:b/>
                <w:bCs/>
                <w:color w:val="auto"/>
                <w:sz w:val="18"/>
                <w:szCs w:val="18"/>
                <w:vertAlign w:val="subscript"/>
                <w:lang w:val="es-ES" w:eastAsia="es-ES"/>
              </w:rPr>
              <w:fldChar w:fldCharType="end"/>
            </w:r>
          </w:p>
        </w:tc>
        <w:tc>
          <w:tcPr>
            <w:tcW w:w="680" w:type="dxa"/>
            <w:tcBorders>
              <w:top w:val="single" w:sz="4" w:space="0" w:color="auto"/>
              <w:bottom w:val="single" w:sz="4" w:space="0" w:color="auto"/>
            </w:tcBorders>
            <w:vAlign w:val="center"/>
          </w:tcPr>
          <w:p w14:paraId="166B0CDA" w14:textId="77777777" w:rsidR="00C470BA" w:rsidRPr="00571545" w:rsidRDefault="00C470BA" w:rsidP="00B02B76">
            <w:pPr>
              <w:spacing w:line="240" w:lineRule="auto"/>
              <w:jc w:val="center"/>
              <w:rPr>
                <w:rFonts w:cs="Calibri"/>
                <w:b/>
                <w:bCs/>
                <w:color w:val="auto"/>
                <w:sz w:val="18"/>
                <w:szCs w:val="18"/>
                <w:lang w:val="es-ES" w:eastAsia="es-ES"/>
              </w:rPr>
            </w:pPr>
            <w:proofErr w:type="spellStart"/>
            <w:r w:rsidRPr="00571545">
              <w:rPr>
                <w:rFonts w:cs="Calibri"/>
                <w:b/>
                <w:bCs/>
                <w:color w:val="auto"/>
                <w:sz w:val="18"/>
                <w:szCs w:val="18"/>
                <w:lang w:val="es-ES" w:eastAsia="es-ES"/>
              </w:rPr>
              <w:t>p</w:t>
            </w:r>
            <w:r w:rsidRPr="00571545">
              <w:rPr>
                <w:rFonts w:cs="Calibri"/>
                <w:b/>
                <w:bCs/>
                <w:i/>
                <w:iCs/>
                <w:color w:val="auto"/>
                <w:sz w:val="18"/>
                <w:szCs w:val="18"/>
                <w:lang w:val="es-ES" w:eastAsia="es-ES"/>
              </w:rPr>
              <w:t>K</w:t>
            </w:r>
            <w:r w:rsidRPr="00571545">
              <w:rPr>
                <w:rFonts w:cs="Calibri"/>
                <w:b/>
                <w:bCs/>
                <w:color w:val="auto"/>
                <w:sz w:val="18"/>
                <w:szCs w:val="18"/>
                <w:vertAlign w:val="subscript"/>
                <w:lang w:val="es-ES" w:eastAsia="es-ES"/>
              </w:rPr>
              <w:t>a</w:t>
            </w:r>
            <w:proofErr w:type="spellEnd"/>
          </w:p>
        </w:tc>
        <w:tc>
          <w:tcPr>
            <w:tcW w:w="1077" w:type="dxa"/>
            <w:tcBorders>
              <w:top w:val="single" w:sz="4" w:space="0" w:color="auto"/>
              <w:bottom w:val="single" w:sz="4" w:space="0" w:color="auto"/>
            </w:tcBorders>
            <w:shd w:val="clear" w:color="auto" w:fill="auto"/>
            <w:noWrap/>
            <w:vAlign w:val="center"/>
            <w:hideMark/>
          </w:tcPr>
          <w:p w14:paraId="23D8CC0E"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30 min</w:t>
            </w:r>
          </w:p>
        </w:tc>
        <w:tc>
          <w:tcPr>
            <w:tcW w:w="1077" w:type="dxa"/>
            <w:tcBorders>
              <w:top w:val="single" w:sz="4" w:space="0" w:color="auto"/>
              <w:bottom w:val="single" w:sz="4" w:space="0" w:color="auto"/>
            </w:tcBorders>
            <w:shd w:val="clear" w:color="auto" w:fill="auto"/>
            <w:noWrap/>
            <w:vAlign w:val="center"/>
            <w:hideMark/>
          </w:tcPr>
          <w:p w14:paraId="4F190C27"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4 h</w:t>
            </w:r>
          </w:p>
        </w:tc>
        <w:tc>
          <w:tcPr>
            <w:tcW w:w="1081" w:type="dxa"/>
            <w:tcBorders>
              <w:top w:val="single" w:sz="4" w:space="0" w:color="auto"/>
              <w:bottom w:val="single" w:sz="4" w:space="0" w:color="auto"/>
            </w:tcBorders>
            <w:shd w:val="clear" w:color="auto" w:fill="auto"/>
            <w:noWrap/>
            <w:vAlign w:val="center"/>
            <w:hideMark/>
          </w:tcPr>
          <w:p w14:paraId="0EF4108F"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24 h</w:t>
            </w:r>
          </w:p>
        </w:tc>
        <w:tc>
          <w:tcPr>
            <w:tcW w:w="1073" w:type="dxa"/>
            <w:tcBorders>
              <w:top w:val="single" w:sz="4" w:space="0" w:color="auto"/>
              <w:bottom w:val="single" w:sz="4" w:space="0" w:color="auto"/>
            </w:tcBorders>
            <w:shd w:val="clear" w:color="auto" w:fill="auto"/>
            <w:noWrap/>
            <w:vAlign w:val="center"/>
            <w:hideMark/>
          </w:tcPr>
          <w:p w14:paraId="442BF000"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30 min</w:t>
            </w:r>
          </w:p>
        </w:tc>
        <w:tc>
          <w:tcPr>
            <w:tcW w:w="1077" w:type="dxa"/>
            <w:tcBorders>
              <w:top w:val="single" w:sz="4" w:space="0" w:color="auto"/>
              <w:bottom w:val="single" w:sz="4" w:space="0" w:color="auto"/>
            </w:tcBorders>
            <w:shd w:val="clear" w:color="auto" w:fill="auto"/>
            <w:noWrap/>
            <w:vAlign w:val="center"/>
            <w:hideMark/>
          </w:tcPr>
          <w:p w14:paraId="64A316BA"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4 h</w:t>
            </w:r>
          </w:p>
        </w:tc>
        <w:tc>
          <w:tcPr>
            <w:tcW w:w="1077" w:type="dxa"/>
            <w:tcBorders>
              <w:top w:val="single" w:sz="4" w:space="0" w:color="auto"/>
              <w:bottom w:val="single" w:sz="4" w:space="0" w:color="auto"/>
            </w:tcBorders>
            <w:shd w:val="clear" w:color="auto" w:fill="auto"/>
            <w:noWrap/>
            <w:vAlign w:val="center"/>
            <w:hideMark/>
          </w:tcPr>
          <w:p w14:paraId="5FABB888" w14:textId="77777777" w:rsidR="00C470BA" w:rsidRPr="00571545" w:rsidRDefault="00C470BA" w:rsidP="00B02B76">
            <w:pPr>
              <w:spacing w:line="240" w:lineRule="auto"/>
              <w:jc w:val="center"/>
              <w:rPr>
                <w:rFonts w:cs="Calibri"/>
                <w:b/>
                <w:bCs/>
                <w:color w:val="auto"/>
                <w:sz w:val="18"/>
                <w:szCs w:val="18"/>
                <w:lang w:val="es-ES" w:eastAsia="es-ES"/>
              </w:rPr>
            </w:pPr>
            <w:r w:rsidRPr="00571545">
              <w:rPr>
                <w:rFonts w:cs="Calibri"/>
                <w:b/>
                <w:bCs/>
                <w:color w:val="auto"/>
                <w:sz w:val="18"/>
                <w:szCs w:val="18"/>
                <w:lang w:val="es-ES" w:eastAsia="es-ES"/>
              </w:rPr>
              <w:t>24 h</w:t>
            </w:r>
          </w:p>
        </w:tc>
      </w:tr>
      <w:tr w:rsidR="00C470BA" w:rsidRPr="00571545" w14:paraId="7AC71194" w14:textId="77777777" w:rsidTr="00571545">
        <w:trPr>
          <w:gridAfter w:val="1"/>
          <w:wAfter w:w="7" w:type="dxa"/>
          <w:trHeight w:val="283"/>
          <w:jc w:val="center"/>
        </w:trPr>
        <w:tc>
          <w:tcPr>
            <w:tcW w:w="1313" w:type="dxa"/>
            <w:tcBorders>
              <w:top w:val="single" w:sz="4" w:space="0" w:color="auto"/>
            </w:tcBorders>
            <w:shd w:val="clear" w:color="auto" w:fill="auto"/>
            <w:noWrap/>
            <w:vAlign w:val="center"/>
            <w:hideMark/>
          </w:tcPr>
          <w:p w14:paraId="148747AE" w14:textId="77777777" w:rsidR="00C470BA" w:rsidRPr="00571545" w:rsidRDefault="00C470BA" w:rsidP="00B02B76">
            <w:pPr>
              <w:spacing w:line="240" w:lineRule="auto"/>
              <w:jc w:val="left"/>
              <w:rPr>
                <w:rFonts w:cs="Calibri"/>
                <w:color w:val="auto"/>
                <w:sz w:val="18"/>
                <w:szCs w:val="18"/>
                <w:lang w:val="es-ES" w:eastAsia="es-ES"/>
              </w:rPr>
            </w:pPr>
            <w:r w:rsidRPr="00571545">
              <w:rPr>
                <w:rFonts w:cs="Calibri"/>
                <w:color w:val="auto"/>
                <w:sz w:val="18"/>
                <w:szCs w:val="18"/>
                <w:lang w:val="es-ES" w:eastAsia="es-ES"/>
              </w:rPr>
              <w:t>5-Fluorouracil</w:t>
            </w:r>
          </w:p>
        </w:tc>
        <w:tc>
          <w:tcPr>
            <w:tcW w:w="764" w:type="dxa"/>
            <w:tcBorders>
              <w:top w:val="single" w:sz="4" w:space="0" w:color="auto"/>
            </w:tcBorders>
          </w:tcPr>
          <w:p w14:paraId="24D58BB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-6.82</w:t>
            </w:r>
          </w:p>
        </w:tc>
        <w:tc>
          <w:tcPr>
            <w:tcW w:w="849" w:type="dxa"/>
            <w:tcBorders>
              <w:top w:val="single" w:sz="4" w:space="0" w:color="auto"/>
            </w:tcBorders>
          </w:tcPr>
          <w:p w14:paraId="2F5CE8F5"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-0.89</w:t>
            </w:r>
          </w:p>
        </w:tc>
        <w:tc>
          <w:tcPr>
            <w:tcW w:w="680" w:type="dxa"/>
            <w:tcBorders>
              <w:top w:val="single" w:sz="4" w:space="0" w:color="auto"/>
            </w:tcBorders>
          </w:tcPr>
          <w:p w14:paraId="1A61C8D0"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7.86 </w:t>
            </w:r>
            <w:r w:rsidRPr="00571545">
              <w:rPr>
                <w:rFonts w:cs="Calibri"/>
                <w:color w:val="auto"/>
                <w:sz w:val="18"/>
                <w:szCs w:val="18"/>
                <w:vertAlign w:val="superscript"/>
                <w:lang w:val="es-ES" w:eastAsia="es-ES"/>
              </w:rPr>
              <w:t>a</w:t>
            </w:r>
          </w:p>
        </w:tc>
        <w:tc>
          <w:tcPr>
            <w:tcW w:w="1077" w:type="dxa"/>
            <w:tcBorders>
              <w:top w:val="single" w:sz="4" w:space="0" w:color="auto"/>
            </w:tcBorders>
            <w:shd w:val="clear" w:color="auto" w:fill="auto"/>
            <w:noWrap/>
            <w:vAlign w:val="center"/>
          </w:tcPr>
          <w:p w14:paraId="346183D1"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tcBorders>
              <w:top w:val="single" w:sz="4" w:space="0" w:color="auto"/>
            </w:tcBorders>
            <w:shd w:val="clear" w:color="auto" w:fill="auto"/>
            <w:noWrap/>
            <w:vAlign w:val="center"/>
          </w:tcPr>
          <w:p w14:paraId="1C0AC1DE"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0.04(±0.04)</w:t>
            </w:r>
          </w:p>
        </w:tc>
        <w:tc>
          <w:tcPr>
            <w:tcW w:w="1081" w:type="dxa"/>
            <w:tcBorders>
              <w:top w:val="single" w:sz="4" w:space="0" w:color="auto"/>
            </w:tcBorders>
            <w:shd w:val="clear" w:color="auto" w:fill="auto"/>
            <w:noWrap/>
            <w:vAlign w:val="center"/>
          </w:tcPr>
          <w:p w14:paraId="63BC2C6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0.08(±0.03)</w:t>
            </w:r>
          </w:p>
        </w:tc>
        <w:tc>
          <w:tcPr>
            <w:tcW w:w="1073" w:type="dxa"/>
            <w:tcBorders>
              <w:top w:val="single" w:sz="4" w:space="0" w:color="auto"/>
            </w:tcBorders>
            <w:shd w:val="clear" w:color="auto" w:fill="auto"/>
            <w:noWrap/>
            <w:vAlign w:val="center"/>
          </w:tcPr>
          <w:p w14:paraId="45013614"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tcBorders>
              <w:top w:val="single" w:sz="4" w:space="0" w:color="auto"/>
            </w:tcBorders>
            <w:shd w:val="clear" w:color="auto" w:fill="auto"/>
            <w:noWrap/>
            <w:vAlign w:val="center"/>
          </w:tcPr>
          <w:p w14:paraId="5A8466FE"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0.01(±0.03)</w:t>
            </w:r>
          </w:p>
        </w:tc>
        <w:tc>
          <w:tcPr>
            <w:tcW w:w="1077" w:type="dxa"/>
            <w:tcBorders>
              <w:top w:val="single" w:sz="4" w:space="0" w:color="auto"/>
            </w:tcBorders>
            <w:shd w:val="clear" w:color="auto" w:fill="auto"/>
            <w:noWrap/>
            <w:vAlign w:val="center"/>
          </w:tcPr>
          <w:p w14:paraId="2470144A"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0.05(±0.02)</w:t>
            </w:r>
          </w:p>
        </w:tc>
      </w:tr>
      <w:tr w:rsidR="00C470BA" w:rsidRPr="00571545" w14:paraId="6826DEF1" w14:textId="77777777" w:rsidTr="00571545">
        <w:trPr>
          <w:gridAfter w:val="1"/>
          <w:wAfter w:w="7" w:type="dxa"/>
          <w:trHeight w:val="283"/>
          <w:jc w:val="center"/>
        </w:trPr>
        <w:tc>
          <w:tcPr>
            <w:tcW w:w="1313" w:type="dxa"/>
            <w:shd w:val="clear" w:color="auto" w:fill="auto"/>
            <w:noWrap/>
            <w:vAlign w:val="center"/>
            <w:hideMark/>
          </w:tcPr>
          <w:p w14:paraId="41FA4B88"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Aminopyrine</w:t>
            </w:r>
            <w:proofErr w:type="spellEnd"/>
          </w:p>
        </w:tc>
        <w:tc>
          <w:tcPr>
            <w:tcW w:w="764" w:type="dxa"/>
          </w:tcPr>
          <w:p w14:paraId="3A30887B"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-6.55</w:t>
            </w:r>
          </w:p>
        </w:tc>
        <w:tc>
          <w:tcPr>
            <w:tcW w:w="849" w:type="dxa"/>
          </w:tcPr>
          <w:p w14:paraId="72F0BBFC"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0.80</w:t>
            </w:r>
          </w:p>
        </w:tc>
        <w:tc>
          <w:tcPr>
            <w:tcW w:w="680" w:type="dxa"/>
          </w:tcPr>
          <w:p w14:paraId="1868A291"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5.00 </w:t>
            </w:r>
            <w:r w:rsidRPr="00571545">
              <w:rPr>
                <w:rFonts w:cs="Calibri"/>
                <w:color w:val="auto"/>
                <w:sz w:val="18"/>
                <w:szCs w:val="18"/>
                <w:vertAlign w:val="superscript"/>
                <w:lang w:val="es-ES" w:eastAsia="es-ES"/>
              </w:rPr>
              <w:t>b</w:t>
            </w:r>
          </w:p>
        </w:tc>
        <w:tc>
          <w:tcPr>
            <w:tcW w:w="1077" w:type="dxa"/>
            <w:shd w:val="clear" w:color="auto" w:fill="auto"/>
            <w:noWrap/>
            <w:vAlign w:val="center"/>
          </w:tcPr>
          <w:p w14:paraId="01315D6F"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shd w:val="clear" w:color="auto" w:fill="auto"/>
            <w:noWrap/>
            <w:vAlign w:val="center"/>
          </w:tcPr>
          <w:p w14:paraId="5DDA2D1C"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81" w:type="dxa"/>
            <w:shd w:val="clear" w:color="auto" w:fill="auto"/>
            <w:noWrap/>
            <w:vAlign w:val="center"/>
          </w:tcPr>
          <w:p w14:paraId="1601777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0.05(±0.02)</w:t>
            </w:r>
          </w:p>
        </w:tc>
        <w:tc>
          <w:tcPr>
            <w:tcW w:w="1073" w:type="dxa"/>
            <w:shd w:val="clear" w:color="auto" w:fill="auto"/>
            <w:noWrap/>
            <w:vAlign w:val="center"/>
          </w:tcPr>
          <w:p w14:paraId="51502169"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shd w:val="clear" w:color="auto" w:fill="auto"/>
            <w:noWrap/>
            <w:vAlign w:val="center"/>
          </w:tcPr>
          <w:p w14:paraId="0A1EA08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0.04(±0.01)</w:t>
            </w:r>
          </w:p>
        </w:tc>
        <w:tc>
          <w:tcPr>
            <w:tcW w:w="1077" w:type="dxa"/>
            <w:shd w:val="clear" w:color="auto" w:fill="auto"/>
            <w:noWrap/>
            <w:vAlign w:val="center"/>
          </w:tcPr>
          <w:p w14:paraId="5401E7CF"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0.05(±0.02)</w:t>
            </w:r>
          </w:p>
        </w:tc>
      </w:tr>
      <w:tr w:rsidR="00C470BA" w:rsidRPr="00571545" w14:paraId="312DD485" w14:textId="77777777" w:rsidTr="00571545">
        <w:trPr>
          <w:gridAfter w:val="1"/>
          <w:wAfter w:w="7" w:type="dxa"/>
          <w:trHeight w:val="283"/>
          <w:jc w:val="center"/>
        </w:trPr>
        <w:tc>
          <w:tcPr>
            <w:tcW w:w="1313" w:type="dxa"/>
            <w:shd w:val="clear" w:color="auto" w:fill="auto"/>
            <w:noWrap/>
            <w:vAlign w:val="center"/>
            <w:hideMark/>
          </w:tcPr>
          <w:p w14:paraId="3643AF39"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Digitoxin</w:t>
            </w:r>
            <w:proofErr w:type="spellEnd"/>
          </w:p>
        </w:tc>
        <w:tc>
          <w:tcPr>
            <w:tcW w:w="764" w:type="dxa"/>
          </w:tcPr>
          <w:p w14:paraId="5DA5F838"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-8.15</w:t>
            </w:r>
          </w:p>
        </w:tc>
        <w:tc>
          <w:tcPr>
            <w:tcW w:w="849" w:type="dxa"/>
          </w:tcPr>
          <w:p w14:paraId="4330665E"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2.83</w:t>
            </w:r>
          </w:p>
        </w:tc>
        <w:tc>
          <w:tcPr>
            <w:tcW w:w="680" w:type="dxa"/>
          </w:tcPr>
          <w:p w14:paraId="32D3FED0" w14:textId="77777777" w:rsidR="00C470BA" w:rsidRPr="00571545" w:rsidRDefault="00C470BA" w:rsidP="00B02B76">
            <w:pPr>
              <w:spacing w:line="240" w:lineRule="auto"/>
              <w:jc w:val="center"/>
              <w:rPr>
                <w:rFonts w:cs="Calibri"/>
                <w:color w:val="auto"/>
                <w:sz w:val="18"/>
                <w:szCs w:val="18"/>
                <w:lang w:val="es-ES" w:eastAsia="es-ES"/>
              </w:rPr>
            </w:pPr>
          </w:p>
        </w:tc>
        <w:tc>
          <w:tcPr>
            <w:tcW w:w="1077" w:type="dxa"/>
            <w:shd w:val="clear" w:color="auto" w:fill="auto"/>
            <w:noWrap/>
            <w:vAlign w:val="center"/>
          </w:tcPr>
          <w:p w14:paraId="09E3432A"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shd w:val="clear" w:color="auto" w:fill="auto"/>
            <w:noWrap/>
            <w:vAlign w:val="center"/>
          </w:tcPr>
          <w:p w14:paraId="6E944E50"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0.22(±0.04)</w:t>
            </w:r>
          </w:p>
        </w:tc>
        <w:tc>
          <w:tcPr>
            <w:tcW w:w="1081" w:type="dxa"/>
            <w:shd w:val="clear" w:color="auto" w:fill="auto"/>
            <w:noWrap/>
            <w:vAlign w:val="center"/>
          </w:tcPr>
          <w:p w14:paraId="4A8D4BC6"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0.29(±0.05)</w:t>
            </w:r>
          </w:p>
        </w:tc>
        <w:tc>
          <w:tcPr>
            <w:tcW w:w="1073" w:type="dxa"/>
            <w:shd w:val="clear" w:color="auto" w:fill="auto"/>
            <w:noWrap/>
            <w:vAlign w:val="center"/>
          </w:tcPr>
          <w:p w14:paraId="29A0B66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shd w:val="clear" w:color="auto" w:fill="auto"/>
            <w:noWrap/>
            <w:vAlign w:val="center"/>
          </w:tcPr>
          <w:p w14:paraId="1581A41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0.09(±0.03)</w:t>
            </w:r>
          </w:p>
        </w:tc>
        <w:tc>
          <w:tcPr>
            <w:tcW w:w="1077" w:type="dxa"/>
            <w:shd w:val="clear" w:color="auto" w:fill="auto"/>
            <w:noWrap/>
            <w:vAlign w:val="center"/>
          </w:tcPr>
          <w:p w14:paraId="2980118B"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0.25(±0.02)</w:t>
            </w:r>
          </w:p>
        </w:tc>
      </w:tr>
      <w:tr w:rsidR="00C470BA" w:rsidRPr="00571545" w14:paraId="32C68DD5" w14:textId="77777777" w:rsidTr="00571545">
        <w:trPr>
          <w:gridAfter w:val="1"/>
          <w:wAfter w:w="7" w:type="dxa"/>
          <w:trHeight w:val="283"/>
          <w:jc w:val="center"/>
        </w:trPr>
        <w:tc>
          <w:tcPr>
            <w:tcW w:w="1313" w:type="dxa"/>
            <w:shd w:val="clear" w:color="auto" w:fill="auto"/>
            <w:noWrap/>
            <w:vAlign w:val="center"/>
            <w:hideMark/>
          </w:tcPr>
          <w:p w14:paraId="463EAFAF"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Flurbiprofen</w:t>
            </w:r>
            <w:proofErr w:type="spellEnd"/>
          </w:p>
        </w:tc>
        <w:tc>
          <w:tcPr>
            <w:tcW w:w="764" w:type="dxa"/>
          </w:tcPr>
          <w:p w14:paraId="6DE69D58"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-4.72</w:t>
            </w:r>
          </w:p>
        </w:tc>
        <w:tc>
          <w:tcPr>
            <w:tcW w:w="849" w:type="dxa"/>
          </w:tcPr>
          <w:p w14:paraId="432F31D4"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4.16</w:t>
            </w:r>
          </w:p>
        </w:tc>
        <w:tc>
          <w:tcPr>
            <w:tcW w:w="680" w:type="dxa"/>
          </w:tcPr>
          <w:p w14:paraId="04976B69"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4.19 </w:t>
            </w:r>
            <w:r w:rsidRPr="00571545">
              <w:rPr>
                <w:rFonts w:cs="Calibri"/>
                <w:color w:val="auto"/>
                <w:sz w:val="18"/>
                <w:szCs w:val="18"/>
                <w:vertAlign w:val="superscript"/>
                <w:lang w:val="es-ES" w:eastAsia="es-ES"/>
              </w:rPr>
              <w:t>c</w:t>
            </w:r>
          </w:p>
        </w:tc>
        <w:tc>
          <w:tcPr>
            <w:tcW w:w="1077" w:type="dxa"/>
            <w:shd w:val="clear" w:color="auto" w:fill="auto"/>
            <w:noWrap/>
            <w:vAlign w:val="center"/>
          </w:tcPr>
          <w:p w14:paraId="4000430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0.18(±0.03)</w:t>
            </w:r>
          </w:p>
        </w:tc>
        <w:tc>
          <w:tcPr>
            <w:tcW w:w="1077" w:type="dxa"/>
            <w:shd w:val="clear" w:color="auto" w:fill="auto"/>
            <w:noWrap/>
            <w:vAlign w:val="center"/>
          </w:tcPr>
          <w:p w14:paraId="65176F7A"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81" w:type="dxa"/>
            <w:shd w:val="clear" w:color="auto" w:fill="auto"/>
            <w:noWrap/>
            <w:vAlign w:val="center"/>
          </w:tcPr>
          <w:p w14:paraId="4F1C8DA9"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3" w:type="dxa"/>
            <w:shd w:val="clear" w:color="auto" w:fill="auto"/>
            <w:noWrap/>
            <w:vAlign w:val="center"/>
          </w:tcPr>
          <w:p w14:paraId="15736D48"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0.13(±0.02)</w:t>
            </w:r>
          </w:p>
        </w:tc>
        <w:tc>
          <w:tcPr>
            <w:tcW w:w="1077" w:type="dxa"/>
            <w:shd w:val="clear" w:color="auto" w:fill="auto"/>
            <w:noWrap/>
            <w:vAlign w:val="center"/>
          </w:tcPr>
          <w:p w14:paraId="08341151"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shd w:val="clear" w:color="auto" w:fill="auto"/>
            <w:noWrap/>
            <w:vAlign w:val="center"/>
          </w:tcPr>
          <w:p w14:paraId="5088FFB4"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r>
      <w:tr w:rsidR="00C470BA" w:rsidRPr="00571545" w14:paraId="4605F71B" w14:textId="77777777" w:rsidTr="00571545">
        <w:trPr>
          <w:gridAfter w:val="1"/>
          <w:wAfter w:w="7" w:type="dxa"/>
          <w:trHeight w:val="283"/>
          <w:jc w:val="center"/>
        </w:trPr>
        <w:tc>
          <w:tcPr>
            <w:tcW w:w="1313" w:type="dxa"/>
            <w:shd w:val="clear" w:color="auto" w:fill="auto"/>
            <w:noWrap/>
            <w:vAlign w:val="center"/>
            <w:hideMark/>
          </w:tcPr>
          <w:p w14:paraId="063BFE5F"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Griseofulvin</w:t>
            </w:r>
            <w:proofErr w:type="spellEnd"/>
          </w:p>
        </w:tc>
        <w:tc>
          <w:tcPr>
            <w:tcW w:w="764" w:type="dxa"/>
          </w:tcPr>
          <w:p w14:paraId="469A3BC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-6.44</w:t>
            </w:r>
          </w:p>
        </w:tc>
        <w:tc>
          <w:tcPr>
            <w:tcW w:w="849" w:type="dxa"/>
          </w:tcPr>
          <w:p w14:paraId="25F352A0"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2.18</w:t>
            </w:r>
          </w:p>
        </w:tc>
        <w:tc>
          <w:tcPr>
            <w:tcW w:w="680" w:type="dxa"/>
          </w:tcPr>
          <w:p w14:paraId="02B5931A" w14:textId="77777777" w:rsidR="00C470BA" w:rsidRPr="00571545" w:rsidRDefault="00C470BA" w:rsidP="00B02B76">
            <w:pPr>
              <w:spacing w:line="240" w:lineRule="auto"/>
              <w:jc w:val="center"/>
              <w:rPr>
                <w:rFonts w:cs="Calibri"/>
                <w:color w:val="auto"/>
                <w:sz w:val="18"/>
                <w:szCs w:val="18"/>
                <w:lang w:val="es-ES" w:eastAsia="es-ES"/>
              </w:rPr>
            </w:pPr>
          </w:p>
        </w:tc>
        <w:tc>
          <w:tcPr>
            <w:tcW w:w="1077" w:type="dxa"/>
            <w:shd w:val="clear" w:color="auto" w:fill="auto"/>
            <w:noWrap/>
            <w:vAlign w:val="center"/>
          </w:tcPr>
          <w:p w14:paraId="0AD91128"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0.06(±0.01)</w:t>
            </w:r>
          </w:p>
        </w:tc>
        <w:tc>
          <w:tcPr>
            <w:tcW w:w="1077" w:type="dxa"/>
            <w:shd w:val="clear" w:color="auto" w:fill="auto"/>
            <w:noWrap/>
            <w:vAlign w:val="center"/>
          </w:tcPr>
          <w:p w14:paraId="4473F4AA"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0.19(±0.01)</w:t>
            </w:r>
          </w:p>
        </w:tc>
        <w:tc>
          <w:tcPr>
            <w:tcW w:w="1081" w:type="dxa"/>
            <w:shd w:val="clear" w:color="auto" w:fill="auto"/>
            <w:noWrap/>
            <w:vAlign w:val="center"/>
          </w:tcPr>
          <w:p w14:paraId="2F7DF305"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0.24(±0.02)</w:t>
            </w:r>
          </w:p>
        </w:tc>
        <w:tc>
          <w:tcPr>
            <w:tcW w:w="1073" w:type="dxa"/>
            <w:shd w:val="clear" w:color="auto" w:fill="auto"/>
            <w:noWrap/>
            <w:vAlign w:val="center"/>
          </w:tcPr>
          <w:p w14:paraId="0DE0C62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0.03(±0.02)</w:t>
            </w:r>
          </w:p>
        </w:tc>
        <w:tc>
          <w:tcPr>
            <w:tcW w:w="1077" w:type="dxa"/>
            <w:shd w:val="clear" w:color="auto" w:fill="auto"/>
            <w:noWrap/>
            <w:vAlign w:val="center"/>
          </w:tcPr>
          <w:p w14:paraId="031DCC7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0.16(±0.01)</w:t>
            </w:r>
          </w:p>
        </w:tc>
        <w:tc>
          <w:tcPr>
            <w:tcW w:w="1077" w:type="dxa"/>
            <w:shd w:val="clear" w:color="auto" w:fill="auto"/>
            <w:noWrap/>
            <w:vAlign w:val="center"/>
          </w:tcPr>
          <w:p w14:paraId="293A8B7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0.20(±0.02)</w:t>
            </w:r>
          </w:p>
        </w:tc>
      </w:tr>
      <w:tr w:rsidR="00C470BA" w:rsidRPr="00571545" w14:paraId="435B52DE" w14:textId="77777777" w:rsidTr="00571545">
        <w:trPr>
          <w:gridAfter w:val="1"/>
          <w:wAfter w:w="7" w:type="dxa"/>
          <w:trHeight w:val="283"/>
          <w:jc w:val="center"/>
        </w:trPr>
        <w:tc>
          <w:tcPr>
            <w:tcW w:w="1313" w:type="dxa"/>
            <w:shd w:val="clear" w:color="auto" w:fill="auto"/>
            <w:noWrap/>
            <w:vAlign w:val="center"/>
            <w:hideMark/>
          </w:tcPr>
          <w:p w14:paraId="6DE5963B"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Hydrocortisone</w:t>
            </w:r>
            <w:proofErr w:type="spellEnd"/>
          </w:p>
        </w:tc>
        <w:tc>
          <w:tcPr>
            <w:tcW w:w="764" w:type="dxa"/>
          </w:tcPr>
          <w:p w14:paraId="1BC143F5"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-7.22</w:t>
            </w:r>
          </w:p>
        </w:tc>
        <w:tc>
          <w:tcPr>
            <w:tcW w:w="849" w:type="dxa"/>
          </w:tcPr>
          <w:p w14:paraId="6058BE7B"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1.61</w:t>
            </w:r>
          </w:p>
        </w:tc>
        <w:tc>
          <w:tcPr>
            <w:tcW w:w="680" w:type="dxa"/>
          </w:tcPr>
          <w:p w14:paraId="47906287" w14:textId="77777777" w:rsidR="00C470BA" w:rsidRPr="00571545" w:rsidRDefault="00C470BA" w:rsidP="00B02B76">
            <w:pPr>
              <w:spacing w:line="240" w:lineRule="auto"/>
              <w:jc w:val="center"/>
              <w:rPr>
                <w:rFonts w:cs="Calibri"/>
                <w:color w:val="auto"/>
                <w:sz w:val="18"/>
                <w:szCs w:val="18"/>
                <w:lang w:val="es-ES" w:eastAsia="es-ES"/>
              </w:rPr>
            </w:pPr>
          </w:p>
        </w:tc>
        <w:tc>
          <w:tcPr>
            <w:tcW w:w="1077" w:type="dxa"/>
            <w:shd w:val="clear" w:color="auto" w:fill="auto"/>
            <w:noWrap/>
            <w:vAlign w:val="center"/>
          </w:tcPr>
          <w:p w14:paraId="0920B9D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0.02(±0.00)</w:t>
            </w:r>
          </w:p>
        </w:tc>
        <w:tc>
          <w:tcPr>
            <w:tcW w:w="1077" w:type="dxa"/>
            <w:shd w:val="clear" w:color="auto" w:fill="auto"/>
            <w:noWrap/>
            <w:vAlign w:val="center"/>
          </w:tcPr>
          <w:p w14:paraId="478592E4"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0.01(±0.01)</w:t>
            </w:r>
          </w:p>
        </w:tc>
        <w:tc>
          <w:tcPr>
            <w:tcW w:w="1081" w:type="dxa"/>
            <w:shd w:val="clear" w:color="auto" w:fill="auto"/>
            <w:noWrap/>
            <w:vAlign w:val="center"/>
          </w:tcPr>
          <w:p w14:paraId="6A611A5B"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0.08(±0.03)</w:t>
            </w:r>
          </w:p>
        </w:tc>
        <w:tc>
          <w:tcPr>
            <w:tcW w:w="1073" w:type="dxa"/>
            <w:shd w:val="clear" w:color="auto" w:fill="auto"/>
            <w:noWrap/>
            <w:vAlign w:val="center"/>
          </w:tcPr>
          <w:p w14:paraId="2A3CF39F"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7" w:type="dxa"/>
            <w:shd w:val="clear" w:color="auto" w:fill="auto"/>
            <w:noWrap/>
            <w:vAlign w:val="center"/>
          </w:tcPr>
          <w:p w14:paraId="7F5AD71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0.04(±0.01)</w:t>
            </w:r>
          </w:p>
        </w:tc>
        <w:tc>
          <w:tcPr>
            <w:tcW w:w="1077" w:type="dxa"/>
            <w:shd w:val="clear" w:color="auto" w:fill="auto"/>
            <w:noWrap/>
            <w:vAlign w:val="center"/>
          </w:tcPr>
          <w:p w14:paraId="5AF9FC9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0.07(±0.02)</w:t>
            </w:r>
          </w:p>
        </w:tc>
      </w:tr>
      <w:tr w:rsidR="00C470BA" w:rsidRPr="00571545" w14:paraId="44CE97FE" w14:textId="77777777" w:rsidTr="00571545">
        <w:trPr>
          <w:gridAfter w:val="1"/>
          <w:wAfter w:w="7" w:type="dxa"/>
          <w:trHeight w:val="283"/>
          <w:jc w:val="center"/>
        </w:trPr>
        <w:tc>
          <w:tcPr>
            <w:tcW w:w="1313" w:type="dxa"/>
            <w:shd w:val="clear" w:color="auto" w:fill="auto"/>
            <w:noWrap/>
            <w:vAlign w:val="center"/>
            <w:hideMark/>
          </w:tcPr>
          <w:p w14:paraId="2186E2B8"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Ibuprofen</w:t>
            </w:r>
            <w:proofErr w:type="spellEnd"/>
          </w:p>
        </w:tc>
        <w:tc>
          <w:tcPr>
            <w:tcW w:w="764" w:type="dxa"/>
          </w:tcPr>
          <w:p w14:paraId="4EB47F0A"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-4.58</w:t>
            </w:r>
          </w:p>
        </w:tc>
        <w:tc>
          <w:tcPr>
            <w:tcW w:w="849" w:type="dxa"/>
          </w:tcPr>
          <w:p w14:paraId="7D7A866F"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3.50</w:t>
            </w:r>
          </w:p>
        </w:tc>
        <w:tc>
          <w:tcPr>
            <w:tcW w:w="680" w:type="dxa"/>
          </w:tcPr>
          <w:p w14:paraId="60844E6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4.43 </w:t>
            </w:r>
            <w:r w:rsidRPr="00571545">
              <w:rPr>
                <w:rFonts w:cs="Calibri"/>
                <w:color w:val="auto"/>
                <w:sz w:val="18"/>
                <w:szCs w:val="18"/>
                <w:vertAlign w:val="superscript"/>
                <w:lang w:val="es-ES" w:eastAsia="es-ES"/>
              </w:rPr>
              <w:t>d</w:t>
            </w:r>
          </w:p>
        </w:tc>
        <w:tc>
          <w:tcPr>
            <w:tcW w:w="1077" w:type="dxa"/>
            <w:shd w:val="clear" w:color="auto" w:fill="auto"/>
            <w:noWrap/>
            <w:vAlign w:val="center"/>
          </w:tcPr>
          <w:p w14:paraId="4EC1A069"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0.22(±0.03)</w:t>
            </w:r>
          </w:p>
        </w:tc>
        <w:tc>
          <w:tcPr>
            <w:tcW w:w="1077" w:type="dxa"/>
            <w:shd w:val="clear" w:color="auto" w:fill="auto"/>
            <w:noWrap/>
            <w:vAlign w:val="center"/>
          </w:tcPr>
          <w:p w14:paraId="7533BCC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81" w:type="dxa"/>
            <w:shd w:val="clear" w:color="auto" w:fill="auto"/>
            <w:noWrap/>
            <w:vAlign w:val="center"/>
          </w:tcPr>
          <w:p w14:paraId="5CDEEA7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3" w:type="dxa"/>
            <w:shd w:val="clear" w:color="auto" w:fill="auto"/>
            <w:noWrap/>
            <w:vAlign w:val="center"/>
          </w:tcPr>
          <w:p w14:paraId="6ED51FDB"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0.19(±0.07)</w:t>
            </w:r>
          </w:p>
        </w:tc>
        <w:tc>
          <w:tcPr>
            <w:tcW w:w="1077" w:type="dxa"/>
            <w:shd w:val="clear" w:color="auto" w:fill="auto"/>
            <w:noWrap/>
            <w:vAlign w:val="center"/>
          </w:tcPr>
          <w:p w14:paraId="01340BD9"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0.09(±0.03)</w:t>
            </w:r>
          </w:p>
        </w:tc>
        <w:tc>
          <w:tcPr>
            <w:tcW w:w="1077" w:type="dxa"/>
            <w:shd w:val="clear" w:color="auto" w:fill="auto"/>
            <w:noWrap/>
            <w:vAlign w:val="center"/>
          </w:tcPr>
          <w:p w14:paraId="44B73DE7"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r>
      <w:tr w:rsidR="00C470BA" w:rsidRPr="00571545" w14:paraId="5AD18719" w14:textId="77777777" w:rsidTr="00571545">
        <w:trPr>
          <w:gridAfter w:val="1"/>
          <w:wAfter w:w="7" w:type="dxa"/>
          <w:trHeight w:val="283"/>
          <w:jc w:val="center"/>
        </w:trPr>
        <w:tc>
          <w:tcPr>
            <w:tcW w:w="1313" w:type="dxa"/>
            <w:shd w:val="clear" w:color="auto" w:fill="auto"/>
            <w:noWrap/>
            <w:vAlign w:val="center"/>
            <w:hideMark/>
          </w:tcPr>
          <w:p w14:paraId="44A9BEBE"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Naproxen</w:t>
            </w:r>
            <w:proofErr w:type="spellEnd"/>
          </w:p>
        </w:tc>
        <w:tc>
          <w:tcPr>
            <w:tcW w:w="764" w:type="dxa"/>
          </w:tcPr>
          <w:p w14:paraId="3F07663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-4.97</w:t>
            </w:r>
          </w:p>
        </w:tc>
        <w:tc>
          <w:tcPr>
            <w:tcW w:w="849" w:type="dxa"/>
          </w:tcPr>
          <w:p w14:paraId="19E890F1"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3.34</w:t>
            </w:r>
          </w:p>
        </w:tc>
        <w:tc>
          <w:tcPr>
            <w:tcW w:w="680" w:type="dxa"/>
          </w:tcPr>
          <w:p w14:paraId="0A0D1BEF"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 xml:space="preserve">4.28 </w:t>
            </w:r>
            <w:r w:rsidRPr="00571545">
              <w:rPr>
                <w:rFonts w:cs="Calibri"/>
                <w:color w:val="auto"/>
                <w:sz w:val="18"/>
                <w:szCs w:val="18"/>
                <w:vertAlign w:val="superscript"/>
                <w:lang w:val="es-ES" w:eastAsia="es-ES"/>
              </w:rPr>
              <w:t>e</w:t>
            </w:r>
          </w:p>
        </w:tc>
        <w:tc>
          <w:tcPr>
            <w:tcW w:w="1077" w:type="dxa"/>
            <w:shd w:val="clear" w:color="auto" w:fill="auto"/>
            <w:noWrap/>
            <w:vAlign w:val="center"/>
          </w:tcPr>
          <w:p w14:paraId="33F5640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0.13(±0.03)</w:t>
            </w:r>
          </w:p>
        </w:tc>
        <w:tc>
          <w:tcPr>
            <w:tcW w:w="1077" w:type="dxa"/>
            <w:shd w:val="clear" w:color="auto" w:fill="auto"/>
            <w:noWrap/>
            <w:vAlign w:val="center"/>
          </w:tcPr>
          <w:p w14:paraId="680A85C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81" w:type="dxa"/>
            <w:shd w:val="clear" w:color="auto" w:fill="auto"/>
            <w:noWrap/>
            <w:vAlign w:val="center"/>
          </w:tcPr>
          <w:p w14:paraId="76BC0AF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c>
          <w:tcPr>
            <w:tcW w:w="1073" w:type="dxa"/>
            <w:shd w:val="clear" w:color="auto" w:fill="auto"/>
            <w:noWrap/>
            <w:vAlign w:val="center"/>
          </w:tcPr>
          <w:p w14:paraId="26FCE15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0.09(±0.02)</w:t>
            </w:r>
          </w:p>
        </w:tc>
        <w:tc>
          <w:tcPr>
            <w:tcW w:w="1077" w:type="dxa"/>
            <w:shd w:val="clear" w:color="auto" w:fill="auto"/>
            <w:noWrap/>
            <w:vAlign w:val="center"/>
          </w:tcPr>
          <w:p w14:paraId="4E5CE6EC"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0.04(±0.02)</w:t>
            </w:r>
          </w:p>
        </w:tc>
        <w:tc>
          <w:tcPr>
            <w:tcW w:w="1077" w:type="dxa"/>
            <w:shd w:val="clear" w:color="auto" w:fill="auto"/>
            <w:noWrap/>
            <w:vAlign w:val="center"/>
          </w:tcPr>
          <w:p w14:paraId="5D13C74C"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0.00</w:t>
            </w:r>
          </w:p>
        </w:tc>
      </w:tr>
      <w:tr w:rsidR="00C470BA" w:rsidRPr="00571545" w14:paraId="39D378E1" w14:textId="77777777" w:rsidTr="00571545">
        <w:trPr>
          <w:gridAfter w:val="1"/>
          <w:wAfter w:w="7" w:type="dxa"/>
          <w:trHeight w:val="283"/>
          <w:jc w:val="center"/>
        </w:trPr>
        <w:tc>
          <w:tcPr>
            <w:tcW w:w="1313" w:type="dxa"/>
            <w:tcBorders>
              <w:bottom w:val="single" w:sz="4" w:space="0" w:color="auto"/>
            </w:tcBorders>
            <w:shd w:val="clear" w:color="auto" w:fill="auto"/>
            <w:noWrap/>
            <w:vAlign w:val="center"/>
            <w:hideMark/>
          </w:tcPr>
          <w:p w14:paraId="3338B7C7" w14:textId="77777777" w:rsidR="00C470BA" w:rsidRPr="00571545" w:rsidRDefault="00C470BA" w:rsidP="00B02B76">
            <w:pPr>
              <w:spacing w:line="240" w:lineRule="auto"/>
              <w:jc w:val="left"/>
              <w:rPr>
                <w:rFonts w:cs="Calibri"/>
                <w:color w:val="auto"/>
                <w:sz w:val="18"/>
                <w:szCs w:val="18"/>
                <w:lang w:val="es-ES" w:eastAsia="es-ES"/>
              </w:rPr>
            </w:pPr>
            <w:proofErr w:type="spellStart"/>
            <w:r w:rsidRPr="00571545">
              <w:rPr>
                <w:rFonts w:cs="Calibri"/>
                <w:color w:val="auto"/>
                <w:sz w:val="18"/>
                <w:szCs w:val="18"/>
                <w:lang w:val="es-ES" w:eastAsia="es-ES"/>
              </w:rPr>
              <w:t>Progesterone</w:t>
            </w:r>
            <w:proofErr w:type="spellEnd"/>
          </w:p>
        </w:tc>
        <w:tc>
          <w:tcPr>
            <w:tcW w:w="764" w:type="dxa"/>
            <w:tcBorders>
              <w:bottom w:val="single" w:sz="4" w:space="0" w:color="auto"/>
            </w:tcBorders>
          </w:tcPr>
          <w:p w14:paraId="21EF2423"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-4.90</w:t>
            </w:r>
          </w:p>
        </w:tc>
        <w:tc>
          <w:tcPr>
            <w:tcW w:w="849" w:type="dxa"/>
            <w:tcBorders>
              <w:bottom w:val="single" w:sz="4" w:space="0" w:color="auto"/>
            </w:tcBorders>
          </w:tcPr>
          <w:p w14:paraId="6E4A1A32"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3.87</w:t>
            </w:r>
          </w:p>
        </w:tc>
        <w:tc>
          <w:tcPr>
            <w:tcW w:w="680" w:type="dxa"/>
            <w:tcBorders>
              <w:bottom w:val="single" w:sz="4" w:space="0" w:color="auto"/>
            </w:tcBorders>
          </w:tcPr>
          <w:p w14:paraId="2BDBD4F2" w14:textId="77777777" w:rsidR="00C470BA" w:rsidRPr="00571545" w:rsidRDefault="00C470BA" w:rsidP="00B02B76">
            <w:pPr>
              <w:spacing w:line="240" w:lineRule="auto"/>
              <w:jc w:val="center"/>
              <w:rPr>
                <w:rFonts w:cs="Calibri"/>
                <w:color w:val="auto"/>
                <w:sz w:val="18"/>
                <w:szCs w:val="18"/>
                <w:lang w:val="es-ES" w:eastAsia="es-ES"/>
              </w:rPr>
            </w:pPr>
          </w:p>
        </w:tc>
        <w:tc>
          <w:tcPr>
            <w:tcW w:w="1077" w:type="dxa"/>
            <w:tcBorders>
              <w:bottom w:val="single" w:sz="4" w:space="0" w:color="auto"/>
            </w:tcBorders>
            <w:shd w:val="clear" w:color="auto" w:fill="auto"/>
            <w:noWrap/>
            <w:vAlign w:val="center"/>
          </w:tcPr>
          <w:p w14:paraId="2B85073B"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0.50(±0.04)</w:t>
            </w:r>
          </w:p>
        </w:tc>
        <w:tc>
          <w:tcPr>
            <w:tcW w:w="1077" w:type="dxa"/>
            <w:tcBorders>
              <w:bottom w:val="single" w:sz="4" w:space="0" w:color="auto"/>
            </w:tcBorders>
            <w:shd w:val="clear" w:color="auto" w:fill="auto"/>
            <w:noWrap/>
            <w:vAlign w:val="center"/>
          </w:tcPr>
          <w:p w14:paraId="29732891"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0.74(±0.01)</w:t>
            </w:r>
          </w:p>
        </w:tc>
        <w:tc>
          <w:tcPr>
            <w:tcW w:w="1081" w:type="dxa"/>
            <w:tcBorders>
              <w:bottom w:val="single" w:sz="4" w:space="0" w:color="auto"/>
            </w:tcBorders>
            <w:shd w:val="clear" w:color="auto" w:fill="auto"/>
            <w:noWrap/>
            <w:vAlign w:val="center"/>
          </w:tcPr>
          <w:p w14:paraId="41E81D1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0.88(±0.01)</w:t>
            </w:r>
          </w:p>
        </w:tc>
        <w:tc>
          <w:tcPr>
            <w:tcW w:w="1073" w:type="dxa"/>
            <w:tcBorders>
              <w:bottom w:val="single" w:sz="4" w:space="0" w:color="auto"/>
            </w:tcBorders>
            <w:shd w:val="clear" w:color="auto" w:fill="auto"/>
            <w:noWrap/>
            <w:vAlign w:val="center"/>
          </w:tcPr>
          <w:p w14:paraId="00B1C498"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0.33(±0.01)</w:t>
            </w:r>
          </w:p>
        </w:tc>
        <w:tc>
          <w:tcPr>
            <w:tcW w:w="1077" w:type="dxa"/>
            <w:tcBorders>
              <w:bottom w:val="single" w:sz="4" w:space="0" w:color="auto"/>
            </w:tcBorders>
            <w:shd w:val="clear" w:color="auto" w:fill="auto"/>
            <w:noWrap/>
            <w:vAlign w:val="center"/>
          </w:tcPr>
          <w:p w14:paraId="3ECFB3A4"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0.62(±0.04)</w:t>
            </w:r>
          </w:p>
        </w:tc>
        <w:tc>
          <w:tcPr>
            <w:tcW w:w="1077" w:type="dxa"/>
            <w:tcBorders>
              <w:bottom w:val="single" w:sz="4" w:space="0" w:color="auto"/>
            </w:tcBorders>
            <w:shd w:val="clear" w:color="auto" w:fill="auto"/>
            <w:noWrap/>
            <w:vAlign w:val="center"/>
          </w:tcPr>
          <w:p w14:paraId="412B6BCD" w14:textId="77777777" w:rsidR="00C470BA" w:rsidRPr="00571545" w:rsidRDefault="00C470BA" w:rsidP="00B02B76">
            <w:pPr>
              <w:spacing w:line="240" w:lineRule="auto"/>
              <w:jc w:val="center"/>
              <w:rPr>
                <w:rFonts w:cs="Calibri"/>
                <w:color w:val="auto"/>
                <w:sz w:val="18"/>
                <w:szCs w:val="18"/>
                <w:lang w:val="es-ES" w:eastAsia="es-ES"/>
              </w:rPr>
            </w:pPr>
            <w:r w:rsidRPr="00571545">
              <w:rPr>
                <w:rFonts w:cs="Calibri"/>
                <w:color w:val="auto"/>
                <w:sz w:val="18"/>
                <w:szCs w:val="18"/>
                <w:lang w:val="es-ES" w:eastAsia="es-ES"/>
              </w:rPr>
              <w:t>0.83(±0.02)</w:t>
            </w:r>
          </w:p>
        </w:tc>
      </w:tr>
      <w:tr w:rsidR="00C470BA" w:rsidRPr="00571545" w14:paraId="73F85BA4" w14:textId="77777777" w:rsidTr="00571545">
        <w:trPr>
          <w:trHeight w:val="283"/>
          <w:jc w:val="center"/>
        </w:trPr>
        <w:tc>
          <w:tcPr>
            <w:tcW w:w="10075" w:type="dxa"/>
            <w:gridSpan w:val="11"/>
            <w:tcBorders>
              <w:top w:val="single" w:sz="4" w:space="0" w:color="auto"/>
            </w:tcBorders>
            <w:shd w:val="clear" w:color="auto" w:fill="auto"/>
            <w:noWrap/>
            <w:vAlign w:val="center"/>
          </w:tcPr>
          <w:p w14:paraId="00D12EAD" w14:textId="1B70E683" w:rsidR="00C470BA" w:rsidRPr="00571545" w:rsidRDefault="00C470BA" w:rsidP="008D4DAD">
            <w:pPr>
              <w:spacing w:line="240" w:lineRule="auto"/>
              <w:jc w:val="left"/>
              <w:rPr>
                <w:rFonts w:cs="Calibri"/>
                <w:color w:val="auto"/>
                <w:sz w:val="18"/>
                <w:szCs w:val="18"/>
                <w:lang w:val="es-ES" w:eastAsia="es-ES"/>
              </w:rPr>
            </w:pPr>
            <w:r w:rsidRPr="00571545">
              <w:rPr>
                <w:rFonts w:cs="Calibri"/>
                <w:color w:val="auto"/>
                <w:sz w:val="18"/>
                <w:szCs w:val="18"/>
                <w:vertAlign w:val="superscript"/>
                <w:lang w:eastAsia="es-ES"/>
              </w:rPr>
              <w:t>a</w:t>
            </w:r>
            <w:r w:rsidRPr="00571545">
              <w:rPr>
                <w:rFonts w:cs="Calibri"/>
                <w:color w:val="auto"/>
                <w:sz w:val="18"/>
                <w:szCs w:val="18"/>
                <w:lang w:eastAsia="es-ES"/>
              </w:rPr>
              <w:t xml:space="preserve"> From reference </w:t>
            </w:r>
            <w:r w:rsidRPr="00571545">
              <w:rPr>
                <w:rFonts w:cs="Calibri"/>
                <w:color w:val="auto"/>
                <w:sz w:val="18"/>
                <w:szCs w:val="18"/>
                <w:lang w:val="es-ES" w:eastAsia="es-ES"/>
              </w:rPr>
              <w:fldChar w:fldCharType="begin" w:fldLock="1"/>
            </w:r>
            <w:r w:rsidRPr="00571545">
              <w:rPr>
                <w:rFonts w:cs="Calibri"/>
                <w:color w:val="auto"/>
                <w:sz w:val="18"/>
                <w:szCs w:val="18"/>
                <w:lang w:eastAsia="es-ES"/>
              </w:rPr>
              <w:instrText>ADDIN CSL_CITATION {"citationItems":[{"id":"ITEM-1","itemData":{"id":"ITEM-1","issued":{"date-parts":[["0"]]},"title":"ACD/Percepta, www.acdlabs.com, Advanced Chemistry Development, Inc., Release (Build 2726, 5 359 May 2014)","type":"article"},"uris":["http://www.mendeley.com/documents/?uuid=895d68ba-5b29-4ea4-b533-7325fbf6b0cf"]}],"mendeley":{"formattedCitation":"[21]","plainTextFormattedCitation":"[21]","previouslyFormattedCitation":"[20]"},"properties":{"noteIndex":0},"schema":"https://github.com/citation-style-language/schema/raw/master/csl-citation.json"}</w:instrText>
            </w:r>
            <w:r w:rsidRPr="00571545">
              <w:rPr>
                <w:rFonts w:cs="Calibri"/>
                <w:color w:val="auto"/>
                <w:sz w:val="18"/>
                <w:szCs w:val="18"/>
                <w:lang w:val="es-ES"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20</w:t>
            </w:r>
            <w:r w:rsidRPr="00571545">
              <w:rPr>
                <w:rFonts w:cs="Calibri"/>
                <w:noProof/>
                <w:color w:val="auto"/>
                <w:sz w:val="18"/>
                <w:szCs w:val="18"/>
                <w:lang w:eastAsia="es-ES"/>
              </w:rPr>
              <w:t>]</w:t>
            </w:r>
            <w:r w:rsidRPr="00571545">
              <w:rPr>
                <w:rFonts w:cs="Calibri"/>
                <w:color w:val="auto"/>
                <w:sz w:val="18"/>
                <w:szCs w:val="18"/>
                <w:lang w:val="es-ES"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b</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{"citationItems":[{"id":"ITEM-1","itemData":{"id":"ITEM-1","issued":{"date-parts":[["0"]]},"title":"Bio-Loom, 2017. BioByte Corp. Claremont, CA, USA. www.biobyte.com","type":"article"},"uris":["http://www.mendeley.com/documents/?uuid=50c5563f-f534-4617-9898-bd44ae7ab2bd"]}],"mendeley":{"formattedCitation":"[20]","plainTextFormattedCitation":"[20]","previouslyFormattedCitation":"[19]"},"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19</w:t>
            </w:r>
            <w:r w:rsidRPr="00571545">
              <w:rPr>
                <w:rFonts w:cs="Calibri"/>
                <w:noProof/>
                <w:color w:val="auto"/>
                <w:sz w:val="18"/>
                <w:szCs w:val="18"/>
                <w:lang w:eastAsia="es-ES"/>
              </w:rPr>
              <w:t>]</w:t>
            </w:r>
            <w:r w:rsidRPr="00571545">
              <w:rPr>
                <w:rFonts w:cs="Calibri"/>
                <w:color w:val="auto"/>
                <w:sz w:val="18"/>
                <w:szCs w:val="18"/>
                <w:lang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c</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{"citationItems":[{"id":"ITEM-1","itemData":{"DOI":"10.1002/elps.201400353","ISSN":"15222683","PMID":"23357751","abstract":"The IS-CE method is developed for pKadetermination of polyprotic compounds. In this method, the internal standard (IS) and the polyprotic test compound are injected into the capillary electrophoresis (CE) system in buffers with appropriate pH. The pH of the buffers is not externally measured, but determined inside the capillary from the mobilities of the internal standards. Then the pKavalues of the polyprotic compounds are obtained by fitting its mobilities to the in situ pH values. The method is faster than the classical CE method (a diprotic compound can be done in less than 15min), and also than other methods like potentiometric and spectrophotometric titrations. The method has been successfully applied to 20 polyprotic test compounds of different chemical nature, including compounds with extreme or very close pKavalues. © 2013 Elsevier B.V..","author":[{"dropping-particle":"","family":"Cabot","given":"Joan Marc","non-dropping-particle":"","parse-names":false,"suffix":""},{"dropping-particle":"","family":"Fuguet","given":"Elisabet","non-dropping-particle":"","parse-names":false,"suffix":""},{"dropping-particle":"","family":"Rosés","given":"Martí","non-dropping-particle":"","parse-names":false,"suffix":""}],"container-title":"Electrophoresis","id":"ITEM-1","issue":"24","issued":{"date-parts":[["2014"]]},"page":"3564-3569","title":"Determination of acidity constants of sparingly soluble drugs in aqueous solution by the internal standard capillary electrophoresis method","type":"article-journal","volume":"35"},"uris":["http://www.mendeley.com/documents/?uuid=e2522e9c-1641-407c-9909-687c5f1a1d1b"]}],"mendeley":{"formattedCitation":"[22]","plainTextFormattedCitation":"[22]","previouslyFormattedCitation":"[21]"},"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w:t>
            </w:r>
            <w:r w:rsidR="008D4DAD">
              <w:rPr>
                <w:rFonts w:cs="Calibri"/>
                <w:noProof/>
                <w:color w:val="auto"/>
                <w:sz w:val="18"/>
                <w:szCs w:val="18"/>
                <w:lang w:eastAsia="es-ES"/>
              </w:rPr>
              <w:t>21</w:t>
            </w:r>
            <w:r w:rsidRPr="00571545">
              <w:rPr>
                <w:rFonts w:cs="Calibri"/>
                <w:noProof/>
                <w:color w:val="auto"/>
                <w:sz w:val="18"/>
                <w:szCs w:val="18"/>
                <w:lang w:eastAsia="es-ES"/>
              </w:rPr>
              <w:t>]</w:t>
            </w:r>
            <w:r w:rsidRPr="00571545">
              <w:rPr>
                <w:rFonts w:cs="Calibri"/>
                <w:color w:val="auto"/>
                <w:sz w:val="18"/>
                <w:szCs w:val="18"/>
                <w:lang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d</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{"citationItems":[{"id":"ITEM-1","itemData":{"DOI":"10.1002/rcm.1229","ISBN":"0951-4198 (Print)\\r0951-4198 (Linking)","ISSN":"09514198","PMID":"14648902","abstract":"A high-throughput pKa screening method based on pressure-assisted capillary electrophoresis (CE) and mass spectrometry (MS) is presented. Effects of buffer type and ionic strength on sensitivity and pKa values were investigated. Influence of dimethyl sulfoxide (DMSO) concentration present in the sample on effective mobility measurement was examined. A series of ten volatile buffers, covering a pH range from 2.5 to 10.5 with the same ionic strength, was employed. The application of volatile background electrolytes resulted in significant signal increase as compared with commonly used non-volatile phosphate buffers. In general, the CE/MS system provided a ten-fold higher sensitivity than conventional UV detection. The newly developed CE/MS method offers high-throughput capacity by pooling a number of compounds into a single sample. Simultaneous measurement of more than 50 compounds was readily achieved in less than 150 min. The measured pKa values are consistent with the published data obtained from the CE/UV method and are also in good agreement with data generated by other methods. Other advantages of using CE/MS for pKa screening are illustrated with typical examples, including poorly soluble compounds and non-UV-absorbing compounds.","author":[{"dropping-particle":"","family":"Wan","given":"Hong","non-dropping-particle":"","parse-names":false,"suffix":""},{"dropping-particle":"","family":"Holmén","given":"Anders G.","non-dropping-particle":"","parse-names":false,"suffix":""},{"dropping-particle":"","family":"Wang","given":"Yudong","non-dropping-particle":"","parse-names":false,"suffix":""},{"dropping-particle":"","family":"Lindberg","given":"Walter","non-dropping-particle":"","parse-names":false,"suffix":""},{"dropping-particle":"","family":"Englund","given":"Marie","non-dropping-particle":"","parse-names":false,"suffix":""},{"dropping-particle":"","family":"Någård","given":"Mats B.","non-dropping-particle":"","parse-names":false,"suffix":""},{"dropping-particle":"","family":"Thompson","given":"Richard A.","non-dropping-particle":"","parse-names":false,"suffix":""}],"container-title":"Rapid Communications in Mass Spectrometry","id":"ITEM-1","issue":"23","issued":{"date-parts":[["2003"]]},"page":"2639-2648","title":"High-throughput screening of pKa values of pharmaceuticals by pressure-assisted capillary electrophoresis and mass spectrometry","type":"article-journal","volume":"17"},"uris":["http://www.mendeley.com/documents/?uuid=eb4dddc6-1eab-4d33-9d3e-7eb6c265a28f"]}],"mendeley":{"formattedCitation":"[23]","plainTextFormattedCitation":"[23]","previouslyFormattedCitation":"[22]"},"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[2</w:t>
            </w:r>
            <w:r w:rsidR="008D4DAD">
              <w:rPr>
                <w:rFonts w:cs="Calibri"/>
                <w:noProof/>
                <w:color w:val="auto"/>
                <w:sz w:val="18"/>
                <w:szCs w:val="18"/>
                <w:lang w:eastAsia="es-ES"/>
              </w:rPr>
              <w:t>2</w:t>
            </w:r>
            <w:r w:rsidRPr="00571545">
              <w:rPr>
                <w:rFonts w:cs="Calibri"/>
                <w:noProof/>
                <w:color w:val="auto"/>
                <w:sz w:val="18"/>
                <w:szCs w:val="18"/>
                <w:lang w:eastAsia="es-ES"/>
              </w:rPr>
              <w:t>]</w:t>
            </w:r>
            <w:r w:rsidRPr="00571545">
              <w:rPr>
                <w:rFonts w:cs="Calibri"/>
                <w:color w:val="auto"/>
                <w:sz w:val="18"/>
                <w:szCs w:val="18"/>
                <w:lang w:eastAsia="es-ES"/>
              </w:rPr>
              <w:fldChar w:fldCharType="end"/>
            </w:r>
            <w:r w:rsidRPr="00571545">
              <w:rPr>
                <w:rFonts w:cs="Calibri"/>
                <w:color w:val="auto"/>
                <w:sz w:val="18"/>
                <w:szCs w:val="18"/>
                <w:lang w:eastAsia="es-ES"/>
              </w:rPr>
              <w:t xml:space="preserve">, </w:t>
            </w:r>
            <w:r w:rsidRPr="00571545">
              <w:rPr>
                <w:rFonts w:cs="Calibri"/>
                <w:color w:val="auto"/>
                <w:sz w:val="18"/>
                <w:szCs w:val="18"/>
                <w:vertAlign w:val="superscript"/>
                <w:lang w:eastAsia="es-ES"/>
              </w:rPr>
              <w:t>e</w:t>
            </w:r>
            <w:r w:rsidRPr="00571545">
              <w:rPr>
                <w:rFonts w:cs="Calibri"/>
                <w:color w:val="auto"/>
                <w:sz w:val="18"/>
                <w:szCs w:val="18"/>
                <w:lang w:eastAsia="es-ES"/>
              </w:rPr>
              <w:t xml:space="preserve"> From reference </w:t>
            </w:r>
            <w:r w:rsidRPr="00571545">
              <w:rPr>
                <w:rFonts w:cs="Calibri"/>
                <w:color w:val="auto"/>
                <w:sz w:val="18"/>
                <w:szCs w:val="18"/>
                <w:lang w:eastAsia="es-ES"/>
              </w:rPr>
              <w:fldChar w:fldCharType="begin" w:fldLock="1"/>
            </w:r>
            <w:r w:rsidRPr="00571545">
              <w:rPr>
                <w:rFonts w:cs="Calibri"/>
                <w:color w:val="auto"/>
                <w:sz w:val="18"/>
                <w:szCs w:val="18"/>
                <w:lang w:eastAsia="es-ES"/>
              </w:rPr>
              <w:instrText>ADDIN CSL_CITATION {"citationItems":[{"id":"ITEM-1","itemData":{"DOI":"10.1016/j.ejps.2018.07.010","ISSN":"18790720","abstract":"In the present study three different procedures have been compared for the determination of the lipophilicity of the unionized species (log Po/w) of neutral, acidic, basic, amphoteric, and zwitterionic drugs. Shake-flask, potentiometric and chromatographic approaches have been assayed in a set of 66 representative compounds in different phases of advanced development. An excellent equivalence has been found between log Po/wvalues obtained by shake-flask and potentiometry, while the chromatographic approach is less accurate but very convenient for screening purposes when a high-throughput is required. In the case of zwitterionic and amphoteric compounds, either for shake-flask and chromatographic methods, the pH has to be accurately selected in order to ensure the compound to be in its neutral form.","author":[{"dropping-particle":"","family":"Port","given":"Adriana","non-dropping-particle":"","parse-names":false,"suffix":""},{"dropping-particle":"","family":"Bordas","given":"Magda","non-dropping-particle":"","parse-names":false,"suffix":""},{"dropping-particle":"","family":"Enrech","given":"Raquel","non-dropping-particle":"","parse-names":false,"suffix":""},{"dropping-particle":"","family":"Pascual","given":"Rosalia","non-dropping-particle":"","parse-names":false,"suffix":""},{"dropping-particle":"","family":"Rosés","given":"Martí","non-dropping-particle":"","parse-names":false,"suffix":""},{"dropping-particle":"","family":"Ràfols","given":"Clara","non-dropping-particle":"","parse-names":false,"suffix":""},{"dropping-particle":"","family":"Subirats","given":"Xavier","non-dropping-particle":"","parse-names":false,"suffix":""},{"dropping-particle":"","family":"Bosch","given":"Elisabeth","non-dropping-particle":"","parse-names":false,"suffix":""}],"container-title":"European Journal of Pharmaceutical Sciences","id":"ITEM-1","issue":"June","issued":{"date-parts":[["2018"]]},"page":"331-340","publisher":"Elsevier","title":"Critical comparison of shake-flask, potentiometric and chromatographic methods for lipophilicity evaluation (log Po/w) of neutral, acidic, basic, amphoteric, and zwitterionic drugs","type":"article-journal","volume":"122"},"uris":["http://www.mendeley.com/documents/?uuid=fa5ecbf1-1a0d-40a0-bbd7-1ad39d995a23"]}],"mendeley":{"formattedCitation":"[24]","plainTextFormattedCitation":"[24]","previouslyFormattedCitation":"[23]"},"properties":{"noteIndex":0},"schema":"https://github.com/citation-style-language/schema/raw/master/csl-citation.json"}</w:instrText>
            </w:r>
            <w:r w:rsidRPr="00571545">
              <w:rPr>
                <w:rFonts w:cs="Calibri"/>
                <w:color w:val="auto"/>
                <w:sz w:val="18"/>
                <w:szCs w:val="18"/>
                <w:lang w:eastAsia="es-ES"/>
              </w:rPr>
              <w:fldChar w:fldCharType="separate"/>
            </w:r>
            <w:r w:rsidRPr="00571545">
              <w:rPr>
                <w:rFonts w:cs="Calibri"/>
                <w:noProof/>
                <w:color w:val="auto"/>
                <w:sz w:val="18"/>
                <w:szCs w:val="18"/>
                <w:lang w:eastAsia="es-ES"/>
              </w:rPr>
              <w:t>[2</w:t>
            </w:r>
            <w:r w:rsidR="008D4DAD">
              <w:rPr>
                <w:rFonts w:cs="Calibri"/>
                <w:noProof/>
                <w:color w:val="auto"/>
                <w:sz w:val="18"/>
                <w:szCs w:val="18"/>
                <w:lang w:eastAsia="es-ES"/>
              </w:rPr>
              <w:t>3</w:t>
            </w:r>
            <w:r w:rsidRPr="00571545">
              <w:rPr>
                <w:rFonts w:cs="Calibri"/>
                <w:noProof/>
                <w:color w:val="auto"/>
                <w:sz w:val="18"/>
                <w:szCs w:val="18"/>
                <w:lang w:eastAsia="es-ES"/>
              </w:rPr>
              <w:t>]</w:t>
            </w:r>
            <w:r w:rsidRPr="00571545">
              <w:rPr>
                <w:rFonts w:cs="Calibri"/>
                <w:color w:val="auto"/>
                <w:sz w:val="18"/>
                <w:szCs w:val="18"/>
                <w:lang w:eastAsia="es-ES"/>
              </w:rPr>
              <w:fldChar w:fldCharType="end"/>
            </w:r>
          </w:p>
        </w:tc>
      </w:tr>
    </w:tbl>
    <w:p w14:paraId="11FDEC5E" w14:textId="0144CE3E" w:rsidR="000B75A9" w:rsidRPr="00D91ABA" w:rsidRDefault="002A4807" w:rsidP="00D91ABA">
      <w:pPr>
        <w:pStyle w:val="ADMETtext"/>
      </w:pPr>
      <w:r w:rsidRPr="00D91ABA">
        <w:t>T</w:t>
      </w:r>
      <w:r w:rsidR="000846E7" w:rsidRPr="00D91ABA">
        <w:t>he membrane retention values at 24</w:t>
      </w:r>
      <w:r w:rsidR="00963215">
        <w:t xml:space="preserve"> </w:t>
      </w:r>
      <w:r w:rsidR="000846E7" w:rsidRPr="00D91ABA">
        <w:t xml:space="preserve">h incubation time have been correlated to the log </w:t>
      </w:r>
      <w:r w:rsidR="000846E7" w:rsidRPr="00963215">
        <w:rPr>
          <w:i/>
        </w:rPr>
        <w:t>P</w:t>
      </w:r>
      <w:r w:rsidR="000846E7" w:rsidRPr="00D91ABA">
        <w:rPr>
          <w:vertAlign w:val="subscript"/>
        </w:rPr>
        <w:t>o/w</w:t>
      </w:r>
      <w:r w:rsidR="000846E7" w:rsidRPr="00D91ABA">
        <w:t xml:space="preserve"> to check if membrane retention is related to lipophilicity. </w:t>
      </w:r>
      <w:proofErr w:type="spellStart"/>
      <w:r w:rsidR="000846E7" w:rsidRPr="00D91ABA">
        <w:t>Flurbiprofen</w:t>
      </w:r>
      <w:proofErr w:type="spellEnd"/>
      <w:r w:rsidR="000846E7" w:rsidRPr="00D91ABA">
        <w:t xml:space="preserve">, ibuprofen, and naproxen are excluded from the </w:t>
      </w:r>
      <w:r w:rsidR="000B75A9" w:rsidRPr="00D91ABA">
        <w:t>correlation</w:t>
      </w:r>
      <w:r w:rsidR="000846E7" w:rsidRPr="00D91ABA">
        <w:t xml:space="preserve"> due to the reasons above mentioned. A sigmoidal relationship</w:t>
      </w:r>
      <w:r w:rsidR="000B75A9" w:rsidRPr="00D91ABA">
        <w:t xml:space="preserve"> between </w:t>
      </w:r>
      <w:r w:rsidR="000B75A9" w:rsidRPr="00963215">
        <w:rPr>
          <w:i/>
        </w:rPr>
        <w:t>R</w:t>
      </w:r>
      <w:r w:rsidR="000B75A9" w:rsidRPr="00D91ABA">
        <w:rPr>
          <w:vertAlign w:val="subscript"/>
        </w:rPr>
        <w:t>M</w:t>
      </w:r>
      <w:r w:rsidR="000B75A9" w:rsidRPr="00D91ABA">
        <w:t xml:space="preserve"> and log </w:t>
      </w:r>
      <w:r w:rsidR="000B75A9" w:rsidRPr="00963215">
        <w:rPr>
          <w:i/>
        </w:rPr>
        <w:t>P</w:t>
      </w:r>
      <w:r w:rsidR="000B75A9" w:rsidRPr="00D91ABA">
        <w:rPr>
          <w:vertAlign w:val="subscript"/>
        </w:rPr>
        <w:t>o/w</w:t>
      </w:r>
      <w:r w:rsidR="000B75A9" w:rsidRPr="00D91ABA">
        <w:t>, which can be explained by equation 6</w:t>
      </w:r>
      <w:r w:rsidR="00A953F3" w:rsidRPr="00D91ABA">
        <w:t xml:space="preserve"> (see appendix)</w:t>
      </w:r>
      <w:r w:rsidR="000B75A9" w:rsidRPr="00D91ABA">
        <w:t>,</w:t>
      </w:r>
      <w:r w:rsidR="000846E7" w:rsidRPr="00D91ABA">
        <w:t xml:space="preserve"> can be observed for the rest of the drugs</w:t>
      </w:r>
      <w:r w:rsidR="000B75A9" w:rsidRPr="00D91ABA">
        <w:t>, which are mainly in its neutral form.</w:t>
      </w:r>
    </w:p>
    <w:p w14:paraId="1B72443A" w14:textId="29E95823" w:rsidR="000B75A9" w:rsidRPr="00D91ABA" w:rsidRDefault="00363028" w:rsidP="00D91ABA">
      <w:pPr>
        <w:pStyle w:val="ADMETtext"/>
        <w:tabs>
          <w:tab w:val="right" w:pos="9498"/>
        </w:tabs>
      </w:pPr>
      <m:oMath>
        <m:sSub>
          <m:sSubPr>
            <m:ctrlPr>
              <w:rPr>
                <w:rFonts w:ascii="Cambria Math" w:hAnsi="Cambria Math"/>
              </w:rPr>
            </m:ctrlPr>
          </m:sSubPr>
          <m:e>
            <m:r>
              <m:rPr>
                <m:nor/>
              </m:rPr>
              <w:rPr>
                <w:rFonts w:asciiTheme="minorHAnsi" w:hAnsiTheme="minorHAnsi"/>
                <w:i/>
              </w:rPr>
              <m:t>R</m:t>
            </m:r>
          </m:e>
          <m:sub>
            <m:r>
              <m:rPr>
                <m:nor/>
              </m:rPr>
              <w:rPr>
                <w:rFonts w:asciiTheme="minorHAnsi" w:hAnsiTheme="minorHAnsi"/>
              </w:rPr>
              <m:t>M</m:t>
            </m:r>
          </m:sub>
        </m:sSub>
        <m:r>
          <m:rPr>
            <m:nor/>
          </m:rPr>
          <w:rPr>
            <w:rFonts w:ascii="Cambria Math" w:hAnsiTheme="minorHAnsi"/>
          </w:rPr>
          <m:t xml:space="preserve"> </m:t>
        </m:r>
        <m:r>
          <m:rPr>
            <m:nor/>
          </m:rPr>
          <w:rPr>
            <w:rFonts w:asciiTheme="minorHAnsi" w:hAnsiTheme="minorHAnsi"/>
          </w:rPr>
          <m:t>=</m:t>
        </m:r>
        <m:f>
          <m:fPr>
            <m:ctrlPr>
              <w:rPr>
                <w:rFonts w:ascii="Cambria Math" w:hAnsi="Cambria Math"/>
              </w:rPr>
            </m:ctrlPr>
          </m:fPr>
          <m:num>
            <m:r>
              <m:rPr>
                <m:nor/>
              </m:rPr>
              <w:rPr>
                <w:rFonts w:asciiTheme="minorHAnsi" w:hAnsiTheme="minorHAnsi"/>
              </w:rPr>
              <m:t>1</m:t>
            </m:r>
          </m:num>
          <m:den>
            <m:r>
              <m:rPr>
                <m:nor/>
              </m:rPr>
              <w:rPr>
                <w:rFonts w:asciiTheme="minorHAnsi" w:hAnsiTheme="minorHAnsi"/>
              </w:rPr>
              <m:t>1+</m:t>
            </m:r>
            <m:sSup>
              <m:sSupPr>
                <m:ctrlPr>
                  <w:rPr>
                    <w:rFonts w:ascii="Cambria Math" w:hAnsi="Cambria Math"/>
                  </w:rPr>
                </m:ctrlPr>
              </m:sSupPr>
              <m:e>
                <m:r>
                  <m:rPr>
                    <m:nor/>
                  </m:rPr>
                  <w:rPr>
                    <w:rFonts w:asciiTheme="minorHAnsi" w:hAnsiTheme="minorHAnsi"/>
                  </w:rPr>
                  <m:t>10</m:t>
                </m:r>
              </m:e>
              <m:sup>
                <m:r>
                  <m:rPr>
                    <m:nor/>
                  </m:rPr>
                  <w:rPr>
                    <w:rFonts w:asciiTheme="minorHAnsi" w:hAnsiTheme="minorHAnsi"/>
                  </w:rPr>
                  <m:t>-log</m:t>
                </m:r>
                <m:r>
                  <m:rPr>
                    <m:nor/>
                  </m:rPr>
                  <w:rPr>
                    <w:rFonts w:asciiTheme="minorHAnsi" w:hAnsiTheme="minorHAnsi"/>
                    <w:i/>
                  </w:rPr>
                  <m:t>D</m:t>
                </m:r>
                <m:r>
                  <m:rPr>
                    <m:nor/>
                  </m:rPr>
                  <w:rPr>
                    <w:rFonts w:asciiTheme="minorHAnsi" w:hAnsiTheme="minorHAnsi"/>
                  </w:rPr>
                  <m:t>+log</m:t>
                </m:r>
                <m:f>
                  <m:fPr>
                    <m:ctrlPr>
                      <w:rPr>
                        <w:rFonts w:ascii="Cambria Math" w:hAnsi="Cambria Math"/>
                      </w:rPr>
                    </m:ctrlPr>
                  </m:fPr>
                  <m:num>
                    <m:sSub>
                      <m:sSubPr>
                        <m:ctrlPr>
                          <w:rPr>
                            <w:rFonts w:ascii="Cambria Math" w:hAnsi="Cambria Math"/>
                          </w:rPr>
                        </m:ctrlPr>
                      </m:sSubPr>
                      <m:e>
                        <m:r>
                          <m:rPr>
                            <m:nor/>
                          </m:rPr>
                          <w:rPr>
                            <w:rFonts w:asciiTheme="minorHAnsi" w:hAnsiTheme="minorHAnsi"/>
                            <w:i/>
                          </w:rPr>
                          <m:t>V</m:t>
                        </m:r>
                      </m:e>
                      <m:sub>
                        <m:r>
                          <m:rPr>
                            <m:nor/>
                          </m:rPr>
                          <w:rPr>
                            <w:rFonts w:asciiTheme="minorHAnsi" w:hAnsiTheme="minorHAnsi"/>
                          </w:rPr>
                          <m:t>water</m:t>
                        </m:r>
                      </m:sub>
                    </m:sSub>
                  </m:num>
                  <m:den>
                    <m:sSub>
                      <m:sSubPr>
                        <m:ctrlPr>
                          <w:rPr>
                            <w:rFonts w:ascii="Cambria Math" w:hAnsi="Cambria Math"/>
                          </w:rPr>
                        </m:ctrlPr>
                      </m:sSubPr>
                      <m:e>
                        <m:r>
                          <m:rPr>
                            <m:nor/>
                          </m:rPr>
                          <w:rPr>
                            <w:rFonts w:asciiTheme="minorHAnsi" w:hAnsiTheme="minorHAnsi"/>
                            <w:i/>
                          </w:rPr>
                          <m:t>V</m:t>
                        </m:r>
                      </m:e>
                      <m:sub>
                        <m:r>
                          <m:rPr>
                            <m:nor/>
                          </m:rPr>
                          <w:rPr>
                            <w:rFonts w:asciiTheme="minorHAnsi" w:hAnsiTheme="minorHAnsi"/>
                          </w:rPr>
                          <m:t>membrane</m:t>
                        </m:r>
                      </m:sub>
                    </m:sSub>
                  </m:den>
                </m:f>
              </m:sup>
            </m:sSup>
          </m:den>
        </m:f>
      </m:oMath>
      <w:r w:rsidR="000B75A9" w:rsidRPr="00D91ABA">
        <w:rPr>
          <w:noProof/>
        </w:rPr>
        <w:t xml:space="preserve">   </w:t>
      </w:r>
      <w:r w:rsidR="000B75A9" w:rsidRPr="00D91ABA">
        <w:rPr>
          <w:noProof/>
        </w:rPr>
        <w:tab/>
      </w:r>
      <w:r w:rsidR="00C16844" w:rsidRPr="00D91ABA">
        <w:rPr>
          <w:noProof/>
        </w:rPr>
        <w:t xml:space="preserve">              </w:t>
      </w:r>
      <w:r w:rsidR="000B75A9" w:rsidRPr="00D91ABA">
        <w:rPr>
          <w:noProof/>
        </w:rPr>
        <w:t xml:space="preserve">  (6)</w:t>
      </w:r>
    </w:p>
    <w:p w14:paraId="7896D6CA" w14:textId="76F60DD5" w:rsidR="00C470BA" w:rsidRDefault="00C470BA" w:rsidP="00C470BA">
      <w:pPr>
        <w:pStyle w:val="ADMETtext"/>
        <w:ind w:firstLine="0"/>
      </w:pPr>
      <w:r>
        <w:rPr>
          <w:noProof/>
          <w:lang w:val="en-GB" w:eastAsia="en-GB"/>
        </w:rPr>
        <w:drawing>
          <wp:anchor distT="0" distB="0" distL="114300" distR="114300" simplePos="0" relativeHeight="251658240" behindDoc="0" locked="0" layoutInCell="1" allowOverlap="1" wp14:anchorId="06A7159A" wp14:editId="068A5B12">
            <wp:simplePos x="0" y="0"/>
            <wp:positionH relativeFrom="column">
              <wp:posOffset>3810</wp:posOffset>
            </wp:positionH>
            <wp:positionV relativeFrom="paragraph">
              <wp:posOffset>80010</wp:posOffset>
            </wp:positionV>
            <wp:extent cx="2581275" cy="2695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5">
                      <a:extLst>
                        <a:ext uri="{28A0092B-C50C-407E-A947-70E740481C1C}">
                          <a14:useLocalDpi xmlns:a14="http://schemas.microsoft.com/office/drawing/2010/main" val="0"/>
                        </a:ext>
                      </a:extLst>
                    </a:blip>
                    <a:stretch>
                      <a:fillRect/>
                    </a:stretch>
                  </pic:blipFill>
                  <pic:spPr>
                    <a:xfrm>
                      <a:off x="0" y="0"/>
                      <a:ext cx="2581275" cy="2695575"/>
                    </a:xfrm>
                    <a:prstGeom prst="rect">
                      <a:avLst/>
                    </a:prstGeom>
                  </pic:spPr>
                </pic:pic>
              </a:graphicData>
            </a:graphic>
            <wp14:sizeRelH relativeFrom="page">
              <wp14:pctWidth>0</wp14:pctWidth>
            </wp14:sizeRelH>
            <wp14:sizeRelV relativeFrom="page">
              <wp14:pctHeight>0</wp14:pctHeight>
            </wp14:sizeRelV>
          </wp:anchor>
        </w:drawing>
      </w:r>
      <w:r w:rsidR="000B75A9" w:rsidRPr="00D91ABA">
        <w:t xml:space="preserve"> </w:t>
      </w:r>
    </w:p>
    <w:p w14:paraId="07F4E765" w14:textId="77777777" w:rsidR="00C470BA" w:rsidRDefault="00C470BA" w:rsidP="00C470BA">
      <w:pPr>
        <w:pStyle w:val="ADMETtext"/>
        <w:ind w:firstLine="0"/>
      </w:pPr>
    </w:p>
    <w:p w14:paraId="595DD40C" w14:textId="77777777" w:rsidR="00C470BA" w:rsidRDefault="00C470BA" w:rsidP="00C470BA">
      <w:pPr>
        <w:pStyle w:val="ADMETtext"/>
        <w:ind w:firstLine="0"/>
      </w:pPr>
    </w:p>
    <w:p w14:paraId="7F9CBFB3" w14:textId="77777777" w:rsidR="00C470BA" w:rsidRDefault="00C470BA" w:rsidP="00C470BA">
      <w:pPr>
        <w:pStyle w:val="ADMETtext"/>
        <w:ind w:firstLine="0"/>
      </w:pPr>
    </w:p>
    <w:p w14:paraId="3B733315" w14:textId="77777777" w:rsidR="00C470BA" w:rsidRDefault="00C470BA" w:rsidP="00C470BA">
      <w:pPr>
        <w:pStyle w:val="ADMETtext"/>
        <w:ind w:firstLine="0"/>
      </w:pPr>
    </w:p>
    <w:p w14:paraId="30D5D342" w14:textId="77777777" w:rsidR="00C470BA" w:rsidRDefault="00C470BA" w:rsidP="00C470BA">
      <w:pPr>
        <w:pStyle w:val="ADMETtext"/>
        <w:ind w:firstLine="0"/>
        <w:rPr>
          <w:rFonts w:cs="Calibri"/>
          <w:b/>
          <w:color w:val="auto"/>
          <w:sz w:val="20"/>
          <w:lang w:val="en-GB"/>
        </w:rPr>
      </w:pPr>
    </w:p>
    <w:p w14:paraId="161654EF" w14:textId="77777777" w:rsidR="00C470BA" w:rsidRDefault="00C470BA" w:rsidP="00C470BA">
      <w:pPr>
        <w:pStyle w:val="ADMETtext"/>
        <w:ind w:firstLine="0"/>
        <w:rPr>
          <w:rFonts w:cs="Calibri"/>
          <w:b/>
          <w:color w:val="auto"/>
          <w:sz w:val="20"/>
          <w:lang w:val="en-GB"/>
        </w:rPr>
      </w:pPr>
    </w:p>
    <w:p w14:paraId="4D7B8C9D" w14:textId="378595AF" w:rsidR="00C470BA" w:rsidRDefault="00C470BA" w:rsidP="00DA4BEC">
      <w:pPr>
        <w:pStyle w:val="ADMETfigurecaptions"/>
      </w:pPr>
      <w:proofErr w:type="gramStart"/>
      <w:r w:rsidRPr="00D91ABA">
        <w:rPr>
          <w:b/>
          <w:lang w:val="en-GB"/>
        </w:rPr>
        <w:t>Figure 2.</w:t>
      </w:r>
      <w:proofErr w:type="gramEnd"/>
      <w:r w:rsidRPr="00D91ABA">
        <w:rPr>
          <w:b/>
          <w:lang w:val="en-GB"/>
        </w:rPr>
        <w:t xml:space="preserve"> </w:t>
      </w:r>
      <w:proofErr w:type="gramStart"/>
      <w:r w:rsidRPr="00D91ABA">
        <w:rPr>
          <w:lang w:val="en-GB"/>
        </w:rPr>
        <w:t>Relationship between membrane retention (</w:t>
      </w:r>
      <w:r w:rsidRPr="009E484D">
        <w:rPr>
          <w:i/>
          <w:lang w:val="en-GB"/>
        </w:rPr>
        <w:t>R</w:t>
      </w:r>
      <w:r w:rsidRPr="00D91ABA">
        <w:rPr>
          <w:vertAlign w:val="subscript"/>
          <w:lang w:val="en-GB"/>
        </w:rPr>
        <w:t>M</w:t>
      </w:r>
      <w:r w:rsidRPr="00D91ABA">
        <w:rPr>
          <w:lang w:val="en-GB"/>
        </w:rPr>
        <w:t xml:space="preserve">) and lipophilicity (log </w:t>
      </w:r>
      <w:r w:rsidRPr="00DA4BEC">
        <w:rPr>
          <w:i/>
          <w:lang w:val="en-GB"/>
        </w:rPr>
        <w:t>P</w:t>
      </w:r>
      <w:r w:rsidRPr="00D91ABA">
        <w:rPr>
          <w:vertAlign w:val="subscript"/>
          <w:lang w:val="en-GB"/>
        </w:rPr>
        <w:t>o/w</w:t>
      </w:r>
      <w:r w:rsidRPr="00D91ABA">
        <w:rPr>
          <w:lang w:val="en-GB"/>
        </w:rPr>
        <w:t xml:space="preserve">) at </w:t>
      </w:r>
      <w:r w:rsidRPr="00D91ABA">
        <w:rPr>
          <w:lang w:eastAsia="en-US"/>
        </w:rPr>
        <w:t>24</w:t>
      </w:r>
      <w:r w:rsidR="00963215">
        <w:rPr>
          <w:lang w:eastAsia="en-US"/>
        </w:rPr>
        <w:t xml:space="preserve"> </w:t>
      </w:r>
      <w:r w:rsidRPr="00D91ABA">
        <w:rPr>
          <w:lang w:eastAsia="en-US"/>
        </w:rPr>
        <w:t>h incubation time without stirring.</w:t>
      </w:r>
      <w:proofErr w:type="gramEnd"/>
    </w:p>
    <w:p w14:paraId="389CA591" w14:textId="77777777" w:rsidR="00DA4BEC" w:rsidRDefault="00DA4BEC" w:rsidP="00C470BA">
      <w:pPr>
        <w:pStyle w:val="ADMETtext"/>
        <w:ind w:firstLine="0"/>
      </w:pPr>
    </w:p>
    <w:p w14:paraId="6C88746E" w14:textId="77777777" w:rsidR="00DA4BEC" w:rsidRDefault="00DA4BEC" w:rsidP="00C470BA">
      <w:pPr>
        <w:pStyle w:val="ADMETtext"/>
        <w:ind w:firstLine="0"/>
      </w:pPr>
    </w:p>
    <w:p w14:paraId="27B420F3" w14:textId="1ACC292D" w:rsidR="000846E7" w:rsidRPr="00D91ABA" w:rsidRDefault="00C470BA" w:rsidP="00DA4BEC">
      <w:pPr>
        <w:pStyle w:val="ADMETtext"/>
        <w:spacing w:before="0"/>
        <w:ind w:firstLine="0"/>
      </w:pPr>
      <w:r w:rsidRPr="00D91ABA">
        <w:t xml:space="preserve">In this equation </w:t>
      </w:r>
      <w:r w:rsidRPr="00963215">
        <w:rPr>
          <w:i/>
        </w:rPr>
        <w:t>D</w:t>
      </w:r>
      <w:r w:rsidRPr="00D91ABA">
        <w:t xml:space="preserve"> is the distribution coefficient between </w:t>
      </w:r>
      <w:r w:rsidR="000B75A9" w:rsidRPr="00D91ABA">
        <w:t xml:space="preserve">water and membrane (pH dependent), </w:t>
      </w:r>
      <w:proofErr w:type="spellStart"/>
      <w:r w:rsidR="000B75A9" w:rsidRPr="00963215">
        <w:rPr>
          <w:i/>
        </w:rPr>
        <w:t>V</w:t>
      </w:r>
      <w:r w:rsidR="000B75A9" w:rsidRPr="00D91ABA">
        <w:rPr>
          <w:vertAlign w:val="subscript"/>
        </w:rPr>
        <w:t>water</w:t>
      </w:r>
      <w:proofErr w:type="spellEnd"/>
      <w:r w:rsidR="000B75A9" w:rsidRPr="00D91ABA">
        <w:t xml:space="preserve"> is the volume of the aqueous compartment, and </w:t>
      </w:r>
      <w:proofErr w:type="spellStart"/>
      <w:r w:rsidR="000B75A9" w:rsidRPr="00963215">
        <w:rPr>
          <w:i/>
        </w:rPr>
        <w:t>V</w:t>
      </w:r>
      <w:r w:rsidR="000B75A9" w:rsidRPr="00D91ABA">
        <w:rPr>
          <w:vertAlign w:val="subscript"/>
        </w:rPr>
        <w:t>membrane</w:t>
      </w:r>
      <w:proofErr w:type="spellEnd"/>
      <w:r w:rsidR="000B75A9" w:rsidRPr="00D91ABA">
        <w:t xml:space="preserve"> is the volume of the membrane. </w:t>
      </w:r>
      <w:r w:rsidR="002A4807" w:rsidRPr="00D91ABA">
        <w:t xml:space="preserve">Figure 2 shows the fit </w:t>
      </w:r>
      <w:r w:rsidR="002A4807" w:rsidRPr="00D91ABA">
        <w:lastRenderedPageBreak/>
        <w:t xml:space="preserve">of equation 6 (using </w:t>
      </w:r>
      <w:r w:rsidR="002A4807" w:rsidRPr="00963215">
        <w:rPr>
          <w:i/>
        </w:rPr>
        <w:t>P</w:t>
      </w:r>
      <w:r w:rsidR="002A4807" w:rsidRPr="00D91ABA">
        <w:rPr>
          <w:vertAlign w:val="subscript"/>
        </w:rPr>
        <w:t>o/w</w:t>
      </w:r>
      <w:r w:rsidR="002A4807" w:rsidRPr="00D91ABA">
        <w:t xml:space="preserve"> of the compounds instead of log </w:t>
      </w:r>
      <w:r w:rsidR="002A4807" w:rsidRPr="00963215">
        <w:rPr>
          <w:i/>
        </w:rPr>
        <w:t>D</w:t>
      </w:r>
      <w:r w:rsidR="002A4807" w:rsidRPr="00D91ABA">
        <w:t>) to the experimental data (24</w:t>
      </w:r>
      <w:r w:rsidR="00963215">
        <w:t xml:space="preserve"> </w:t>
      </w:r>
      <w:r w:rsidR="002A4807" w:rsidRPr="00D91ABA">
        <w:t xml:space="preserve">h incubation time without stirring). </w:t>
      </w:r>
      <w:r w:rsidR="00F23A87" w:rsidRPr="00D91ABA">
        <w:t>Good statistics are obtained (R</w:t>
      </w:r>
      <w:r w:rsidR="00F23A87" w:rsidRPr="00D91ABA">
        <w:rPr>
          <w:vertAlign w:val="superscript"/>
        </w:rPr>
        <w:t>2</w:t>
      </w:r>
      <w:r w:rsidR="00F23A87" w:rsidRPr="00D91ABA">
        <w:t xml:space="preserve"> = 0.951, SD = 0.066, F</w:t>
      </w:r>
      <w:r w:rsidR="00BF3D30" w:rsidRPr="00D91ABA">
        <w:t xml:space="preserve"> </w:t>
      </w:r>
      <w:r w:rsidR="00F23A87" w:rsidRPr="00D91ABA">
        <w:t xml:space="preserve">= </w:t>
      </w:r>
      <w:r w:rsidR="00BF3D30" w:rsidRPr="00D91ABA">
        <w:t>98</w:t>
      </w:r>
      <w:r w:rsidR="00F23A87" w:rsidRPr="00D91ABA">
        <w:t>), with a</w:t>
      </w:r>
      <w:r w:rsidR="002A4807" w:rsidRPr="00D91ABA">
        <w:t xml:space="preserve"> value of 3.19 </w:t>
      </w:r>
      <w:r w:rsidR="002A4807" w:rsidRPr="00D91ABA">
        <w:rPr>
          <w:rFonts w:cs="Calibri"/>
        </w:rPr>
        <w:t>±</w:t>
      </w:r>
      <w:r w:rsidR="002A4807" w:rsidRPr="00D91ABA">
        <w:t xml:space="preserve"> 0.11 for the parameter log (</w:t>
      </w:r>
      <w:proofErr w:type="spellStart"/>
      <w:r w:rsidR="002A4807" w:rsidRPr="00963215">
        <w:rPr>
          <w:i/>
        </w:rPr>
        <w:t>V</w:t>
      </w:r>
      <w:r w:rsidR="002A4807" w:rsidRPr="00D91ABA">
        <w:rPr>
          <w:vertAlign w:val="subscript"/>
        </w:rPr>
        <w:t>water</w:t>
      </w:r>
      <w:proofErr w:type="spellEnd"/>
      <w:r w:rsidR="002A4807" w:rsidRPr="00D91ABA">
        <w:t>/</w:t>
      </w:r>
      <w:proofErr w:type="spellStart"/>
      <w:r w:rsidR="002A4807" w:rsidRPr="00963215">
        <w:rPr>
          <w:i/>
        </w:rPr>
        <w:t>V</w:t>
      </w:r>
      <w:r w:rsidR="002A4807" w:rsidRPr="00D91ABA">
        <w:rPr>
          <w:vertAlign w:val="subscript"/>
        </w:rPr>
        <w:t>membrane</w:t>
      </w:r>
      <w:proofErr w:type="spellEnd"/>
      <w:r w:rsidR="002A4807" w:rsidRPr="00D91ABA">
        <w:t>)</w:t>
      </w:r>
      <w:r w:rsidR="00F23A87" w:rsidRPr="00D91ABA">
        <w:t xml:space="preserve">.  This is a good fit given that the true equilibrium may not have been achieved, </w:t>
      </w:r>
      <w:proofErr w:type="spellStart"/>
      <w:r w:rsidR="00F23A87" w:rsidRPr="00D91ABA">
        <w:t>ionisation</w:t>
      </w:r>
      <w:proofErr w:type="spellEnd"/>
      <w:r w:rsidR="00F23A87" w:rsidRPr="00D91ABA">
        <w:t xml:space="preserve"> of some compounds has been neglected, and octanol is expected to be more lipophilic than the membrane.</w:t>
      </w:r>
    </w:p>
    <w:p w14:paraId="13A9DB53" w14:textId="051EC69C" w:rsidR="007A6B8E" w:rsidRPr="00D91ABA" w:rsidRDefault="007A6B8E" w:rsidP="00D91ABA">
      <w:pPr>
        <w:pStyle w:val="ADMETtext"/>
      </w:pPr>
      <w:r w:rsidRPr="00D91ABA">
        <w:t>From correlations established in Figure 1 A</w:t>
      </w:r>
      <w:r w:rsidR="00F728F9" w:rsidRPr="00D91ABA">
        <w:t>-</w:t>
      </w:r>
      <w:r w:rsidRPr="00D91ABA">
        <w:t>C,</w:t>
      </w:r>
      <w:r w:rsidR="00E81434" w:rsidRPr="00D91ABA">
        <w:t xml:space="preserve"> it can be </w:t>
      </w:r>
      <w:r w:rsidR="00B37B9D" w:rsidRPr="00D91ABA">
        <w:t xml:space="preserve">observed </w:t>
      </w:r>
      <w:r w:rsidR="00E81434" w:rsidRPr="00D91ABA">
        <w:t xml:space="preserve">that the slopes are very close and </w:t>
      </w:r>
      <w:r w:rsidR="0086569A" w:rsidRPr="00D91ABA">
        <w:t xml:space="preserve">very low data dispersion is observed. Hence, the assay conditions using an incubation time of 4 hours (Figure 1B) and taking advantage of stirring to </w:t>
      </w:r>
      <w:r w:rsidR="00E264E3" w:rsidRPr="00D91ABA">
        <w:t>decrease</w:t>
      </w:r>
      <w:r w:rsidR="0086569A" w:rsidRPr="00D91ABA">
        <w:t xml:space="preserve"> as much as possible the thickness of the aqueous boundary layer are considered the most appropriate. </w:t>
      </w:r>
      <w:r w:rsidR="00AE16A4" w:rsidRPr="00D91ABA">
        <w:t>W</w:t>
      </w:r>
      <w:r w:rsidRPr="00D91ABA">
        <w:t>orking under these conditions</w:t>
      </w:r>
      <w:r w:rsidR="00AE16A4" w:rsidRPr="00D91ABA">
        <w:t xml:space="preserve"> permits to evaluate</w:t>
      </w:r>
      <w:r w:rsidRPr="00D91ABA">
        <w:t xml:space="preserve"> the greatest number of compounds, despite in some cases, such as </w:t>
      </w:r>
      <w:proofErr w:type="spellStart"/>
      <w:r w:rsidRPr="00D91ABA">
        <w:t>digitoxin</w:t>
      </w:r>
      <w:proofErr w:type="spellEnd"/>
      <w:r w:rsidRPr="00D91ABA">
        <w:t xml:space="preserve">, longer incubation might be needed. </w:t>
      </w:r>
    </w:p>
    <w:p w14:paraId="64BB2DD8" w14:textId="3336EE6A" w:rsidR="00610E29" w:rsidRPr="00D91ABA" w:rsidRDefault="00610E29" w:rsidP="00CC5A86">
      <w:pPr>
        <w:pStyle w:val="ADMETsubheading"/>
      </w:pPr>
      <w:r w:rsidRPr="00D91ABA">
        <w:t xml:space="preserve">Study of membrane </w:t>
      </w:r>
      <w:r w:rsidR="004A4F6C" w:rsidRPr="00D91ABA">
        <w:t>stability</w:t>
      </w:r>
    </w:p>
    <w:p w14:paraId="7BDA955A" w14:textId="4810ADB7" w:rsidR="00303934" w:rsidRPr="00D91ABA" w:rsidRDefault="004405C4" w:rsidP="00CC5A86">
      <w:pPr>
        <w:pStyle w:val="ADMETtext"/>
        <w:rPr>
          <w:highlight w:val="cyan"/>
        </w:rPr>
      </w:pPr>
      <w:r w:rsidRPr="00D91ABA">
        <w:t xml:space="preserve">The </w:t>
      </w:r>
      <w:r w:rsidR="004A4F6C" w:rsidRPr="00D91ABA">
        <w:t>stability</w:t>
      </w:r>
      <w:r w:rsidRPr="00D91ABA">
        <w:t xml:space="preserve"> of the </w:t>
      </w:r>
      <w:r w:rsidR="000F4754" w:rsidRPr="00D91ABA">
        <w:t>skin-PAMPA</w:t>
      </w:r>
      <w:r w:rsidRPr="00D91ABA">
        <w:t xml:space="preserve"> membrane </w:t>
      </w:r>
      <w:r w:rsidR="00D32CA1" w:rsidRPr="00D91ABA">
        <w:t xml:space="preserve">at basic pH values </w:t>
      </w:r>
      <w:r w:rsidRPr="00D91ABA">
        <w:t xml:space="preserve">was </w:t>
      </w:r>
      <w:r w:rsidR="00AE16A4" w:rsidRPr="00D91ABA">
        <w:t xml:space="preserve">studied through </w:t>
      </w:r>
      <w:r w:rsidR="00396260" w:rsidRPr="00D91ABA">
        <w:t>measur</w:t>
      </w:r>
      <w:r w:rsidR="00AE16A4" w:rsidRPr="00D91ABA">
        <w:t>ement of</w:t>
      </w:r>
      <w:r w:rsidR="00396260" w:rsidRPr="00D91ABA">
        <w:t xml:space="preserve"> the permeability of 11 compounds</w:t>
      </w:r>
      <w:r w:rsidR="00AF6977" w:rsidRPr="00D91ABA">
        <w:t xml:space="preserve"> </w:t>
      </w:r>
      <w:r w:rsidR="00D32CA1" w:rsidRPr="00D91ABA">
        <w:t>(3 acids, 5 bases and 3 neutrals).</w:t>
      </w:r>
      <w:r w:rsidR="002D60AE" w:rsidRPr="00D91ABA">
        <w:t xml:space="preserve"> </w:t>
      </w:r>
      <w:r w:rsidR="00396260" w:rsidRPr="00D91ABA">
        <w:t>T</w:t>
      </w:r>
      <w:r w:rsidR="009D1C48" w:rsidRPr="00D91ABA">
        <w:t xml:space="preserve">he </w:t>
      </w:r>
      <w:r w:rsidR="000F4754" w:rsidRPr="00D91ABA">
        <w:t>skin-PAMPA</w:t>
      </w:r>
      <w:r w:rsidR="009D1C48" w:rsidRPr="00D91ABA">
        <w:t xml:space="preserve"> membrane was hydrated with</w:t>
      </w:r>
      <w:r w:rsidR="002D60AE" w:rsidRPr="00D91ABA">
        <w:t xml:space="preserve"> diluted </w:t>
      </w:r>
      <w:r w:rsidR="009D1C48" w:rsidRPr="00D91ABA">
        <w:t>PRISMA HT</w:t>
      </w:r>
      <w:r w:rsidR="009D1C48" w:rsidRPr="00D91ABA">
        <w:rPr>
          <w:vertAlign w:val="superscript"/>
        </w:rPr>
        <w:t>TM</w:t>
      </w:r>
      <w:r w:rsidR="009D1C48" w:rsidRPr="00D91ABA">
        <w:t xml:space="preserve"> </w:t>
      </w:r>
      <w:r w:rsidR="002D60AE" w:rsidRPr="00D91ABA">
        <w:t xml:space="preserve">buffer solution </w:t>
      </w:r>
      <w:r w:rsidR="009D1C48" w:rsidRPr="00D91ABA">
        <w:t>at pH 7, 8, 9 and 10 during 30 min and 4</w:t>
      </w:r>
      <w:r w:rsidR="00AE16A4" w:rsidRPr="00D91ABA">
        <w:t xml:space="preserve"> hours</w:t>
      </w:r>
      <w:r w:rsidR="006B6DC8" w:rsidRPr="00D91ABA">
        <w:t xml:space="preserve">, to be consistent with incubation times selected in section 3.1. </w:t>
      </w:r>
      <w:r w:rsidR="001512C6" w:rsidRPr="00D91ABA">
        <w:t xml:space="preserve">Then, </w:t>
      </w:r>
      <w:r w:rsidR="00710883" w:rsidRPr="00D91ABA">
        <w:t xml:space="preserve">a standard permeation assay was carried out with an incubation time of 4 h </w:t>
      </w:r>
      <w:r w:rsidR="0065128B" w:rsidRPr="00D91ABA">
        <w:t xml:space="preserve">and stirring </w:t>
      </w:r>
      <w:r w:rsidR="00710883" w:rsidRPr="00D91ABA">
        <w:t>at pH 5</w:t>
      </w:r>
      <w:r w:rsidR="00D32CA1" w:rsidRPr="00D91ABA">
        <w:t xml:space="preserve"> in the donor compartment and pH 7.4 in the acceptor compartment</w:t>
      </w:r>
      <w:r w:rsidR="00710883" w:rsidRPr="00D91ABA">
        <w:t>. Simultaneously</w:t>
      </w:r>
      <w:r w:rsidR="008737AD" w:rsidRPr="00D91ABA">
        <w:t xml:space="preserve">, </w:t>
      </w:r>
      <w:r w:rsidR="00710883" w:rsidRPr="00D91ABA">
        <w:t xml:space="preserve">permeation assays were also performed without </w:t>
      </w:r>
      <w:r w:rsidR="008737AD" w:rsidRPr="00D91ABA">
        <w:t xml:space="preserve">the </w:t>
      </w:r>
      <w:r w:rsidR="00710883" w:rsidRPr="00D91ABA">
        <w:t xml:space="preserve">previous soaking treatment at basic </w:t>
      </w:r>
      <w:proofErr w:type="spellStart"/>
      <w:r w:rsidR="00710883" w:rsidRPr="00D91ABA">
        <w:t>pH.</w:t>
      </w:r>
      <w:proofErr w:type="spellEnd"/>
      <w:r w:rsidR="0088461E" w:rsidRPr="00D91ABA">
        <w:t xml:space="preserve"> </w:t>
      </w:r>
      <w:r w:rsidR="00710883" w:rsidRPr="00D91ABA">
        <w:t xml:space="preserve">The obtained results are presented in </w:t>
      </w:r>
      <w:r w:rsidR="004271BE" w:rsidRPr="00D91ABA">
        <w:t>Figure 3,</w:t>
      </w:r>
      <w:r w:rsidR="00710883" w:rsidRPr="00D91ABA">
        <w:t xml:space="preserve"> </w:t>
      </w:r>
      <w:r w:rsidR="00D32CA1" w:rsidRPr="00D91ABA">
        <w:t xml:space="preserve">which shows </w:t>
      </w:r>
      <w:r w:rsidR="00710883" w:rsidRPr="00D91ABA">
        <w:t xml:space="preserve">the </w:t>
      </w:r>
      <w:r w:rsidR="000F4754" w:rsidRPr="00D91ABA">
        <w:t>skin-PAMPA</w:t>
      </w:r>
      <w:r w:rsidR="00710883" w:rsidRPr="00D91ABA">
        <w:t xml:space="preserve"> log </w:t>
      </w:r>
      <w:proofErr w:type="spellStart"/>
      <w:r w:rsidR="00710883" w:rsidRPr="003430C9">
        <w:rPr>
          <w:i/>
        </w:rPr>
        <w:t>P</w:t>
      </w:r>
      <w:r w:rsidR="00710883" w:rsidRPr="00D91ABA">
        <w:rPr>
          <w:vertAlign w:val="subscript"/>
        </w:rPr>
        <w:t>e</w:t>
      </w:r>
      <w:proofErr w:type="spellEnd"/>
      <w:r w:rsidR="00710883" w:rsidRPr="00D91ABA">
        <w:t xml:space="preserve"> values obtained with and without </w:t>
      </w:r>
      <w:r w:rsidR="00AF6977" w:rsidRPr="00D91ABA">
        <w:t xml:space="preserve">the </w:t>
      </w:r>
      <w:r w:rsidR="00710883" w:rsidRPr="00D91ABA">
        <w:t xml:space="preserve">previous treatment. Each subfigure corresponds to a compound and the straight line inside the figure is the log </w:t>
      </w:r>
      <w:proofErr w:type="spellStart"/>
      <w:r w:rsidR="00710883" w:rsidRPr="003430C9">
        <w:rPr>
          <w:i/>
        </w:rPr>
        <w:t>P</w:t>
      </w:r>
      <w:r w:rsidR="00710883" w:rsidRPr="00D91ABA">
        <w:rPr>
          <w:vertAlign w:val="subscript"/>
        </w:rPr>
        <w:t>e</w:t>
      </w:r>
      <w:proofErr w:type="spellEnd"/>
      <w:r w:rsidR="00710883" w:rsidRPr="00D91ABA">
        <w:t xml:space="preserve"> value</w:t>
      </w:r>
      <w:r w:rsidR="00D32CA1" w:rsidRPr="00D91ABA">
        <w:t xml:space="preserve"> in the untreated membrane</w:t>
      </w:r>
      <w:r w:rsidR="00710883" w:rsidRPr="00D91ABA">
        <w:t>.</w:t>
      </w:r>
    </w:p>
    <w:p w14:paraId="29834D00" w14:textId="1E410C13" w:rsidR="00610E29" w:rsidRPr="00D91ABA" w:rsidRDefault="00550584" w:rsidP="00CC5A86">
      <w:pPr>
        <w:pStyle w:val="ADMETtext"/>
      </w:pPr>
      <w:r w:rsidRPr="00D91ABA">
        <w:t>An</w:t>
      </w:r>
      <w:r w:rsidR="00AF6977" w:rsidRPr="00D91ABA">
        <w:t xml:space="preserve"> </w:t>
      </w:r>
      <w:r w:rsidR="00296879" w:rsidRPr="00D91ABA">
        <w:t>increase of permeability values</w:t>
      </w:r>
      <w:r w:rsidR="00AF0E4F" w:rsidRPr="00D91ABA">
        <w:t xml:space="preserve"> </w:t>
      </w:r>
      <w:r w:rsidR="00296879" w:rsidRPr="00D91ABA">
        <w:t xml:space="preserve">at pH 9 and 10 </w:t>
      </w:r>
      <w:r w:rsidRPr="00D91ABA">
        <w:t>is shown in Figure 3</w:t>
      </w:r>
      <w:r w:rsidR="004271BE" w:rsidRPr="00D91ABA">
        <w:t xml:space="preserve"> for almost all the compounds</w:t>
      </w:r>
      <w:r w:rsidR="00AF6977" w:rsidRPr="00D91ABA">
        <w:t xml:space="preserve">, which points out the lack of </w:t>
      </w:r>
      <w:r w:rsidR="004A4F6C" w:rsidRPr="00D91ABA">
        <w:t xml:space="preserve">stability </w:t>
      </w:r>
      <w:r w:rsidR="00AF6977" w:rsidRPr="00D91ABA">
        <w:t xml:space="preserve">of the membrane in this pH range. In some cases, such as </w:t>
      </w:r>
      <w:proofErr w:type="spellStart"/>
      <w:r w:rsidR="00AF6977" w:rsidRPr="00D91ABA">
        <w:t>aminopyrine</w:t>
      </w:r>
      <w:proofErr w:type="spellEnd"/>
      <w:r w:rsidR="00AF6977" w:rsidRPr="00D91ABA">
        <w:t>, some distortion</w:t>
      </w:r>
      <w:r w:rsidR="0031308D" w:rsidRPr="00D91ABA">
        <w:t xml:space="preserve"> is </w:t>
      </w:r>
      <w:r w:rsidR="00296879" w:rsidRPr="00D91ABA">
        <w:t>already noted at pH 8.</w:t>
      </w:r>
      <w:r w:rsidR="004271BE" w:rsidRPr="00D91ABA">
        <w:t xml:space="preserve"> As described in the literature</w:t>
      </w:r>
      <w:r w:rsidR="00FA45EA" w:rsidRPr="00D91ABA">
        <w:t xml:space="preserve"> </w:t>
      </w:r>
      <w:r w:rsidR="00532B1F" w:rsidRPr="00D91ABA">
        <w:fldChar w:fldCharType="begin" w:fldLock="1"/>
      </w:r>
      <w:r w:rsidR="00913B15" w:rsidRPr="00D91ABA">
        <w:instrText>ADDIN CSL_CITATION {"citationItems":[{"id":"ITEM-1","itemData":{"author":[{"dropping-particle":"","family":"Lieckfeldt","given":"R","non-dropping-particle":"","parse-names":false,"suffix":""},{"dropping-particle":"","family":"Villalaín","given":"J","non-dropping-particle":"","parse-names":false,"suffix":""},{"dropping-particle":"","family":"Gómez-Fernández","given":"J.C.","non-dropping-particle":"","parse-names":false,"suffix":""},{"dropping-particle":"","family":"Lee","given":"G","non-dropping-particle":"","parse-names":false,"suffix":""}],"container-title":"Pharmaceutical Research","id":"ITEM-1","issue":"11","issued":{"date-parts":[["1995"]]},"page":"1614-1617","title":"Apparent pKa of the fatty acids within ordered mixtures of model human stratum corneum lipids","type":"article-journal","volume":"12"},"uris":["http://www.mendeley.com/documents/?uuid=b20c8c29-e19f-4cfb-adc6-7061f015445e"]}],"mendeley":{"formattedCitation":"[16]","plainTextFormattedCitation":"[16]","previouslyFormattedCitation":"[16]"},"properties":{"noteIndex":0},"schema":"https://github.com/citation-style-language/schema/raw/master/csl-citation.json"}</w:instrText>
      </w:r>
      <w:r w:rsidR="00532B1F" w:rsidRPr="00D91ABA">
        <w:fldChar w:fldCharType="separate"/>
      </w:r>
      <w:r w:rsidR="00913B15" w:rsidRPr="00D91ABA">
        <w:rPr>
          <w:noProof/>
        </w:rPr>
        <w:t>[16]</w:t>
      </w:r>
      <w:r w:rsidR="00532B1F" w:rsidRPr="00D91ABA">
        <w:fldChar w:fldCharType="end"/>
      </w:r>
      <w:r w:rsidR="004271BE" w:rsidRPr="00D91ABA">
        <w:t>,</w:t>
      </w:r>
      <w:r w:rsidR="00F571F1" w:rsidRPr="00D91ABA">
        <w:t xml:space="preserve"> </w:t>
      </w:r>
      <w:r w:rsidR="004271BE" w:rsidRPr="00D91ABA">
        <w:t xml:space="preserve">solutions at </w:t>
      </w:r>
      <w:r w:rsidR="00F571F1" w:rsidRPr="00D91ABA">
        <w:t>pH 7</w:t>
      </w:r>
      <w:r w:rsidR="00FB2F92" w:rsidRPr="00D91ABA">
        <w:t xml:space="preserve"> </w:t>
      </w:r>
      <w:r w:rsidR="004271BE" w:rsidRPr="00D91ABA">
        <w:t xml:space="preserve">or higher </w:t>
      </w:r>
      <w:r w:rsidR="00FB2F92" w:rsidRPr="00D91ABA">
        <w:t xml:space="preserve">produce a change of membrane packaging </w:t>
      </w:r>
      <w:r w:rsidR="004A4F6C" w:rsidRPr="00D91ABA">
        <w:t>in</w:t>
      </w:r>
      <w:r w:rsidR="00FB2F92" w:rsidRPr="00D91ABA">
        <w:t xml:space="preserve"> human skin</w:t>
      </w:r>
      <w:r w:rsidR="004271BE" w:rsidRPr="00D91ABA">
        <w:t>. However, in</w:t>
      </w:r>
      <w:r w:rsidR="00FB2F92" w:rsidRPr="00D91ABA">
        <w:t xml:space="preserve"> </w:t>
      </w:r>
      <w:r w:rsidR="004271BE" w:rsidRPr="00D91ABA">
        <w:t>the</w:t>
      </w:r>
      <w:r w:rsidR="00FB2F92" w:rsidRPr="00D91ABA">
        <w:t xml:space="preserve"> skin</w:t>
      </w:r>
      <w:r w:rsidR="00BF3D30" w:rsidRPr="00D91ABA">
        <w:t>-</w:t>
      </w:r>
      <w:r w:rsidR="00FB2F92" w:rsidRPr="00D91ABA">
        <w:t>PAMPA membrane</w:t>
      </w:r>
      <w:r w:rsidR="004271BE" w:rsidRPr="00D91ABA">
        <w:t xml:space="preserve"> loose of stability is not observed </w:t>
      </w:r>
      <w:r w:rsidR="004271BE" w:rsidRPr="00CC5A86">
        <w:t>up</w:t>
      </w:r>
      <w:r w:rsidR="004271BE" w:rsidRPr="00D91ABA">
        <w:t xml:space="preserve"> to pH 8</w:t>
      </w:r>
      <w:r w:rsidR="00FB2F92" w:rsidRPr="00D91ABA">
        <w:t>, probably due to the different membrane composition.</w:t>
      </w:r>
      <w:r w:rsidR="00F571F1" w:rsidRPr="00D91ABA">
        <w:t xml:space="preserve"> </w:t>
      </w:r>
      <w:r w:rsidR="00E63806" w:rsidRPr="00D91ABA">
        <w:t>In most cases</w:t>
      </w:r>
      <w:r w:rsidR="00AF0E4F" w:rsidRPr="00D91ABA">
        <w:t>,</w:t>
      </w:r>
      <w:r w:rsidR="00E63806" w:rsidRPr="00D91ABA">
        <w:t xml:space="preserve"> </w:t>
      </w:r>
      <w:r w:rsidR="00FA45EA" w:rsidRPr="00D91ABA">
        <w:t>the permeability values increase</w:t>
      </w:r>
      <w:r w:rsidR="00AF0E4F" w:rsidRPr="00D91ABA">
        <w:t xml:space="preserve"> for</w:t>
      </w:r>
      <w:r w:rsidR="00FA45EA" w:rsidRPr="00D91ABA">
        <w:t xml:space="preserve"> </w:t>
      </w:r>
      <w:r w:rsidR="0065128B" w:rsidRPr="00D91ABA">
        <w:t xml:space="preserve">both </w:t>
      </w:r>
      <w:r w:rsidR="00FA45EA" w:rsidRPr="00D91ABA">
        <w:t>30 minutes and 4 hours of treatment</w:t>
      </w:r>
      <w:r w:rsidR="00D32CA1" w:rsidRPr="00D91ABA">
        <w:t>,</w:t>
      </w:r>
      <w:r w:rsidR="00FA45EA" w:rsidRPr="00D91ABA">
        <w:t xml:space="preserve"> mean</w:t>
      </w:r>
      <w:r w:rsidR="00D32CA1" w:rsidRPr="00D91ABA">
        <w:t>ing</w:t>
      </w:r>
      <w:r w:rsidR="00FA45EA" w:rsidRPr="00D91ABA">
        <w:t xml:space="preserve"> that at 30 minut</w:t>
      </w:r>
      <w:r w:rsidR="00DC7D0A" w:rsidRPr="00D91ABA">
        <w:t>e</w:t>
      </w:r>
      <w:r w:rsidR="00FA45EA" w:rsidRPr="00D91ABA">
        <w:t xml:space="preserve">s the </w:t>
      </w:r>
      <w:r w:rsidR="004A4F6C" w:rsidRPr="00D91ABA">
        <w:t>stability</w:t>
      </w:r>
      <w:r w:rsidR="00FA45EA" w:rsidRPr="00D91ABA">
        <w:t xml:space="preserve"> of the membrane is already altered by the basic </w:t>
      </w:r>
      <w:proofErr w:type="spellStart"/>
      <w:r w:rsidR="00FA45EA" w:rsidRPr="00D91ABA">
        <w:t>pH.</w:t>
      </w:r>
      <w:proofErr w:type="spellEnd"/>
      <w:r w:rsidR="00FA45EA" w:rsidRPr="00D91ABA">
        <w:t xml:space="preserve"> </w:t>
      </w:r>
      <w:proofErr w:type="spellStart"/>
      <w:r w:rsidR="00E63806" w:rsidRPr="00D91ABA">
        <w:t>Griseofulvin</w:t>
      </w:r>
      <w:proofErr w:type="spellEnd"/>
      <w:r w:rsidR="00E63806" w:rsidRPr="00D91ABA">
        <w:t xml:space="preserve"> and warfarin have a slight increase at pH 9 and 10. The values of indomethacin, 2-toluidine and </w:t>
      </w:r>
      <w:proofErr w:type="spellStart"/>
      <w:r w:rsidR="00E63806" w:rsidRPr="00D91ABA">
        <w:t>sufentanyl</w:t>
      </w:r>
      <w:proofErr w:type="spellEnd"/>
      <w:r w:rsidR="00E63806" w:rsidRPr="00D91ABA">
        <w:t>, however, remain constant. As a general trend, it seems that this problem is mo</w:t>
      </w:r>
      <w:r w:rsidR="00AF0E4F" w:rsidRPr="00D91ABA">
        <w:t>re</w:t>
      </w:r>
      <w:r w:rsidR="00E63806" w:rsidRPr="00D91ABA">
        <w:t xml:space="preserve"> </w:t>
      </w:r>
      <w:r w:rsidR="00D32CA1" w:rsidRPr="00D91ABA">
        <w:t>important</w:t>
      </w:r>
      <w:r w:rsidR="00E63806" w:rsidRPr="00D91ABA">
        <w:t xml:space="preserve"> when the compound </w:t>
      </w:r>
      <w:r w:rsidR="00FA45EA" w:rsidRPr="00D91ABA">
        <w:t xml:space="preserve">is less permeable </w:t>
      </w:r>
      <w:r w:rsidR="00E63806" w:rsidRPr="00D91ABA">
        <w:t>(log</w:t>
      </w:r>
      <w:r w:rsidR="003430C9">
        <w:t> </w:t>
      </w:r>
      <w:proofErr w:type="spellStart"/>
      <w:r w:rsidR="00E63806" w:rsidRPr="003430C9">
        <w:rPr>
          <w:i/>
        </w:rPr>
        <w:t>P</w:t>
      </w:r>
      <w:r w:rsidR="00E63806" w:rsidRPr="00D91ABA">
        <w:rPr>
          <w:vertAlign w:val="subscript"/>
        </w:rPr>
        <w:t>e</w:t>
      </w:r>
      <w:proofErr w:type="spellEnd"/>
      <w:r w:rsidR="00E63806" w:rsidRPr="00D91ABA">
        <w:t xml:space="preserve"> below -5</w:t>
      </w:r>
      <w:r w:rsidR="0031308D" w:rsidRPr="00D91ABA">
        <w:t xml:space="preserve">) regardless of the nature </w:t>
      </w:r>
      <w:r w:rsidR="00D51636" w:rsidRPr="00D91ABA">
        <w:t xml:space="preserve">and ionization </w:t>
      </w:r>
      <w:r w:rsidR="0031308D" w:rsidRPr="00D91ABA">
        <w:t>of the compound.</w:t>
      </w:r>
      <w:r w:rsidR="00E63806" w:rsidRPr="00D91ABA">
        <w:t xml:space="preserve"> In </w:t>
      </w:r>
      <w:r w:rsidR="00D51636" w:rsidRPr="00D91ABA">
        <w:t>conclusion</w:t>
      </w:r>
      <w:r w:rsidR="00961B2A" w:rsidRPr="00D91ABA">
        <w:t xml:space="preserve">, </w:t>
      </w:r>
      <w:r w:rsidR="00D32CA1" w:rsidRPr="00D91ABA">
        <w:t xml:space="preserve">although </w:t>
      </w:r>
      <w:r w:rsidR="00EC0709" w:rsidRPr="00D91ABA">
        <w:t>t</w:t>
      </w:r>
      <w:r w:rsidR="00961B2A" w:rsidRPr="00D91ABA">
        <w:t>he PRISMA HT</w:t>
      </w:r>
      <w:r w:rsidR="00961B2A" w:rsidRPr="00D91ABA">
        <w:rPr>
          <w:vertAlign w:val="superscript"/>
        </w:rPr>
        <w:t xml:space="preserve">TM </w:t>
      </w:r>
      <w:r w:rsidR="00961B2A" w:rsidRPr="00D91ABA">
        <w:t xml:space="preserve">universal buffer solution </w:t>
      </w:r>
      <w:r w:rsidR="00D32CA1" w:rsidRPr="00D91ABA">
        <w:t xml:space="preserve">suggests a working pH range between </w:t>
      </w:r>
      <w:r w:rsidR="00961B2A" w:rsidRPr="00D91ABA">
        <w:rPr>
          <w:iCs/>
        </w:rPr>
        <w:t>3</w:t>
      </w:r>
      <w:r w:rsidR="00D32CA1" w:rsidRPr="00D91ABA">
        <w:rPr>
          <w:iCs/>
        </w:rPr>
        <w:t xml:space="preserve"> and </w:t>
      </w:r>
      <w:r w:rsidR="00961B2A" w:rsidRPr="00D91ABA">
        <w:rPr>
          <w:iCs/>
        </w:rPr>
        <w:t>10</w:t>
      </w:r>
      <w:r w:rsidR="00D32CA1" w:rsidRPr="00D91ABA">
        <w:rPr>
          <w:iCs/>
        </w:rPr>
        <w:t xml:space="preserve">, </w:t>
      </w:r>
      <w:r w:rsidR="00EC0709" w:rsidRPr="00D91ABA">
        <w:rPr>
          <w:iCs/>
        </w:rPr>
        <w:t>it</w:t>
      </w:r>
      <w:r w:rsidR="00961B2A" w:rsidRPr="00D91ABA">
        <w:rPr>
          <w:iCs/>
        </w:rPr>
        <w:t xml:space="preserve"> is advisable </w:t>
      </w:r>
      <w:r w:rsidR="00BA0547" w:rsidRPr="00D91ABA">
        <w:rPr>
          <w:iCs/>
        </w:rPr>
        <w:t>not to exceed</w:t>
      </w:r>
      <w:r w:rsidR="00961B2A" w:rsidRPr="00D91ABA">
        <w:rPr>
          <w:iCs/>
        </w:rPr>
        <w:t xml:space="preserve"> </w:t>
      </w:r>
      <w:r w:rsidR="00EC0709" w:rsidRPr="00D91ABA">
        <w:rPr>
          <w:iCs/>
        </w:rPr>
        <w:t xml:space="preserve">pH 8 </w:t>
      </w:r>
      <w:r w:rsidR="00EC0709" w:rsidRPr="00D91ABA">
        <w:t xml:space="preserve">to avoid damaging the </w:t>
      </w:r>
      <w:r w:rsidR="000F4754" w:rsidRPr="00D91ABA">
        <w:t>skin-PAMPA</w:t>
      </w:r>
      <w:r w:rsidR="00EC0709" w:rsidRPr="00D91ABA">
        <w:t xml:space="preserve"> membrane.</w:t>
      </w:r>
      <w:r w:rsidR="004271BE" w:rsidRPr="00D91ABA">
        <w:t xml:space="preserve"> In that cases where permeability must be determined at pH values higher than eight (for example to determine the log </w:t>
      </w:r>
      <w:proofErr w:type="spellStart"/>
      <w:r w:rsidR="004271BE" w:rsidRPr="003430C9">
        <w:rPr>
          <w:i/>
        </w:rPr>
        <w:t>P</w:t>
      </w:r>
      <w:r w:rsidR="004271BE" w:rsidRPr="00D91ABA">
        <w:rPr>
          <w:vertAlign w:val="subscript"/>
        </w:rPr>
        <w:t>e</w:t>
      </w:r>
      <w:proofErr w:type="spellEnd"/>
      <w:r w:rsidR="004271BE" w:rsidRPr="00D91ABA">
        <w:t xml:space="preserve"> of the neutral forms of bases with </w:t>
      </w:r>
      <w:proofErr w:type="spellStart"/>
      <w:r w:rsidR="004271BE" w:rsidRPr="00D91ABA">
        <w:t>p</w:t>
      </w:r>
      <w:r w:rsidR="004271BE" w:rsidRPr="003430C9">
        <w:rPr>
          <w:i/>
        </w:rPr>
        <w:t>K</w:t>
      </w:r>
      <w:r w:rsidR="004271BE" w:rsidRPr="00D91ABA">
        <w:rPr>
          <w:vertAlign w:val="subscript"/>
        </w:rPr>
        <w:t>a</w:t>
      </w:r>
      <w:proofErr w:type="spellEnd"/>
      <w:r w:rsidR="004271BE" w:rsidRPr="00D91ABA">
        <w:t xml:space="preserve"> values higher than 7) alternative methods should be used, such the estimation equations propose</w:t>
      </w:r>
      <w:r w:rsidR="00C4119B" w:rsidRPr="00D91ABA">
        <w:t>d</w:t>
      </w:r>
      <w:r w:rsidR="004271BE" w:rsidRPr="00D91ABA">
        <w:t xml:space="preserve"> by Zhang </w:t>
      </w:r>
      <w:r w:rsidR="004271BE" w:rsidRPr="003430C9">
        <w:rPr>
          <w:i/>
        </w:rPr>
        <w:t>et al</w:t>
      </w:r>
      <w:r w:rsidR="004271BE" w:rsidRPr="00D91ABA">
        <w:t xml:space="preserve">. </w:t>
      </w:r>
      <w:r w:rsidR="00D638CD" w:rsidRPr="00D91ABA">
        <w:fldChar w:fldCharType="begin" w:fldLock="1"/>
      </w:r>
      <w:r w:rsidR="00D638CD" w:rsidRPr="00D91ABA">
        <w:instrText>ADDIN CSL_CITATION {"citationItems":[{"id":"ITEM-1","itemData":{"DOI":"10.1016/j.ijpharm.2017.02.059","ISSN":"18733476","abstract":"Experimental values of permeability coefficients, as log Kp, of chemical compounds across human skin were collected by carefully screening the literature, and adjusted to 37 °C for the effect of temperature. The values of log Kpfor partially ionized acids and bases were separated into those for their neutral and ionic species, forming a total data set of 247 compounds and species (including 35 ionic species). The obtained log Kpvalues have been regressed against Abraham solute descriptors to yield a correlation equation with R2 = 0.866 and SD = 0.432 log units. The equation can provide valid predictions for log Kpof neutral molecules, ions and ionic species, with predictive R2 = 0.858 and predictive SD = 0.445 log units calculated by the leave-one-out statistics. The predicted log Kpvalues for Na+and Et4N+are in good agreement with the observed values. We calculated the values of log Kpof ketoprofen as a function of the pH of the donor solution, and found that log Kpmarkedly varies only when ketoprofen is largely ionized. This explains why models that neglect ionization of permeants still yield reasonable statistical results. The effect of skin thickness on log Kpwas investigated by inclusion of two indicator variables, one for intermediate thickness skin and one for full thickness skin, into the above equation. The newly obtained equations were found to be statistically very close to the above equation. Therefore, the thickness of human skin used makes little difference to the experimental values of log Kp.","author":[{"dropping-particle":"","family":"Zhang","given":"Keda","non-dropping-particle":"","parse-names":false,"suffix":""},{"dropping-particle":"","family":"Abraham","given":"Michael H.","non-dropping-particle":"","parse-names":false,"suffix":""},{"dropping-particle":"","family":"Liu","given":"Xiangli","non-dropping-particle":"","parse-names":false,"suffix":""}],"container-title":"International Journal of Pharmaceutics","id":"ITEM-1","issue":"1-2","issued":{"date-parts":[["2017"]]},"page":"259-266","publisher":"Elsevier B.V.","title":"An equation for the prediction of human skin permeability of neutral molecules, ions and ionic species","type":"article-journal","volume":"521"},"uris":["http://www.mendeley.com/documents/?uuid=ec1b31d8-8244-4c46-ac8d-c8080cda3b28"]}],"mendeley":{"formattedCitation":"[18]","plainTextFormattedCitation":"[18]","previouslyFormattedCitation":"[18]"},"properties":{"noteIndex":0},"schema":"https://github.com/citation-style-language/schema/raw/master/csl-citation.json"}</w:instrText>
      </w:r>
      <w:r w:rsidR="00D638CD" w:rsidRPr="00D91ABA">
        <w:fldChar w:fldCharType="separate"/>
      </w:r>
      <w:r w:rsidR="00D638CD" w:rsidRPr="00D91ABA">
        <w:rPr>
          <w:noProof/>
        </w:rPr>
        <w:t>[18]</w:t>
      </w:r>
      <w:r w:rsidR="00D638CD" w:rsidRPr="00D91ABA">
        <w:fldChar w:fldCharType="end"/>
      </w:r>
      <w:r w:rsidR="00C4119B" w:rsidRPr="00D91ABA">
        <w:t xml:space="preserve"> or estimation through chromatographic measurements </w:t>
      </w:r>
      <w:r w:rsidR="00D638CD" w:rsidRPr="00D91ABA">
        <w:fldChar w:fldCharType="begin" w:fldLock="1"/>
      </w:r>
      <w:r w:rsidR="00D638CD" w:rsidRPr="00D91ABA">
        <w:instrText>ADDIN CSL_CITATION {"citationItems":[{"id":"ITEM-1","itemData":{"DOI":"10.5599/admet.512","ISSN":"1848-7718","abstract":"Dermal absorption is a key process in the drug delivery studies of the pharmaceutical and cosmetic industries, as well as in the fields of dermal toxicology, risk assessment, and the exposure of environmental pollutants. This process is typically described by the skin-water permeability coefficient. However, in vivo determination is laborious and expensive. Thus, in the last few years, the development of prediction models from structure descriptors or subrogation through physico-chemical measurements has gained interest. In the present work, a previous subrogation model based on the chromatographic retention on a common C18 column has been tested for a wide set of drugs with very different chemical nature and having a wide range of permeability values. A total of 65 compounds have been used to establish the correlation between skin permeation and the HPLC retention, corrected by the McGowan volume of the drug. Afterwards it was successfully validated in terms of robustness and prediction ability. Finally, the permeability coefficient was estimated for a set of 29 new drugs, and results compared to the ones obtained by other estimation methods, as well as the available in vitro measured values, with very good agreement.","author":[{"dropping-particle":"","family":"Soriano-Meseguer","given":"Sara","non-dropping-particle":"","parse-names":false,"suffix":""},{"dropping-particle":"","family":"Fuguet","given":"Elisabet","non-dropping-particle":"","parse-names":false,"suffix":""},{"dropping-particle":"","family":"Port","given":"Adriana","non-dropping-particle":"","parse-names":false,"suffix":""},{"dropping-particle":"","family":"Rosés","given":"Martí","non-dropping-particle":"","parse-names":false,"suffix":""}],"container-title":"ADMET and DMPK","id":"ITEM-1","issue":"2","issued":{"date-parts":[["2018","6","16"]]},"page":"140","title":"Estimation of skin permeation by liquid chromatography","type":"article-journal","volume":"6"},"uris":["http://www.mendeley.com/documents/?uuid=40da8ac8-b1ba-4d08-b0cf-1240002465c2"]}],"mendeley":{"formattedCitation":"[19]","plainTextFormattedCitation":"[19]"},"properties":{"noteIndex":0},"schema":"https://github.com/citation-style-language/schema/raw/master/csl-citation.json"}</w:instrText>
      </w:r>
      <w:r w:rsidR="00D638CD" w:rsidRPr="00D91ABA">
        <w:fldChar w:fldCharType="separate"/>
      </w:r>
      <w:r w:rsidR="00D638CD" w:rsidRPr="00D91ABA">
        <w:rPr>
          <w:noProof/>
        </w:rPr>
        <w:t>[</w:t>
      </w:r>
      <w:r w:rsidR="008D4DAD">
        <w:rPr>
          <w:noProof/>
        </w:rPr>
        <w:t>24</w:t>
      </w:r>
      <w:r w:rsidR="00D638CD" w:rsidRPr="00D91ABA">
        <w:rPr>
          <w:noProof/>
        </w:rPr>
        <w:t>]</w:t>
      </w:r>
      <w:r w:rsidR="00D638CD" w:rsidRPr="00D91ABA">
        <w:fldChar w:fldCharType="end"/>
      </w:r>
      <w:r w:rsidR="00C4119B" w:rsidRPr="00D91ABA">
        <w:t>.</w:t>
      </w:r>
    </w:p>
    <w:p w14:paraId="2D2DB518" w14:textId="403D9968" w:rsidR="005874CE" w:rsidRPr="00D91ABA" w:rsidRDefault="00DB6FC4" w:rsidP="00CC5A86">
      <w:pPr>
        <w:pStyle w:val="ADMETsubheading"/>
      </w:pPr>
      <w:r w:rsidRPr="00D91ABA">
        <w:t>Correlation with human skin permeation</w:t>
      </w:r>
      <w:r w:rsidR="00103CE8" w:rsidRPr="00D91ABA">
        <w:t xml:space="preserve"> data</w:t>
      </w:r>
    </w:p>
    <w:p w14:paraId="01A58CA3" w14:textId="2B98030F" w:rsidR="00941FDA" w:rsidRPr="00D91ABA" w:rsidRDefault="00095C9C" w:rsidP="00CC5A86">
      <w:pPr>
        <w:pStyle w:val="ADMETtext"/>
      </w:pPr>
      <w:r w:rsidRPr="00D91ABA">
        <w:t>The skin-PAMPA permeability (</w:t>
      </w:r>
      <w:proofErr w:type="spellStart"/>
      <w:r w:rsidRPr="003430C9">
        <w:rPr>
          <w:i/>
        </w:rPr>
        <w:t>P</w:t>
      </w:r>
      <w:r w:rsidRPr="00D91ABA">
        <w:rPr>
          <w:vertAlign w:val="subscript"/>
        </w:rPr>
        <w:t>e</w:t>
      </w:r>
      <w:proofErr w:type="spellEnd"/>
      <w:r w:rsidRPr="00D91ABA">
        <w:t>) of a large acid-base drugs dataset (n=46) obtained in the optimized assay conditions previously discussed has been correlated with literature skin permeability (</w:t>
      </w:r>
      <w:proofErr w:type="spellStart"/>
      <w:proofErr w:type="gramStart"/>
      <w:r w:rsidRPr="003430C9">
        <w:rPr>
          <w:i/>
        </w:rPr>
        <w:t>K</w:t>
      </w:r>
      <w:r w:rsidRPr="00D91ABA">
        <w:rPr>
          <w:vertAlign w:val="subscript"/>
        </w:rPr>
        <w:t>p</w:t>
      </w:r>
      <w:proofErr w:type="spellEnd"/>
      <w:proofErr w:type="gramEnd"/>
      <w:r w:rsidRPr="00D91ABA">
        <w:t>).</w:t>
      </w:r>
      <w:r w:rsidR="00FF5597" w:rsidRPr="00D91ABA">
        <w:t xml:space="preserve"> </w:t>
      </w:r>
      <w:r w:rsidR="00941FDA" w:rsidRPr="00D91ABA">
        <w:rPr>
          <w:rStyle w:val="Emphasis"/>
          <w:bCs/>
          <w:i w:val="0"/>
          <w:color w:val="auto"/>
        </w:rPr>
        <w:t xml:space="preserve">The log </w:t>
      </w:r>
      <w:proofErr w:type="spellStart"/>
      <w:proofErr w:type="gramStart"/>
      <w:r w:rsidR="00941FDA" w:rsidRPr="003430C9">
        <w:rPr>
          <w:rStyle w:val="Emphasis"/>
          <w:bCs/>
          <w:color w:val="auto"/>
        </w:rPr>
        <w:t>K</w:t>
      </w:r>
      <w:r w:rsidR="00941FDA" w:rsidRPr="00D91ABA">
        <w:rPr>
          <w:rStyle w:val="Emphasis"/>
          <w:bCs/>
          <w:i w:val="0"/>
          <w:color w:val="auto"/>
          <w:vertAlign w:val="subscript"/>
        </w:rPr>
        <w:t>p</w:t>
      </w:r>
      <w:proofErr w:type="spellEnd"/>
      <w:proofErr w:type="gramEnd"/>
      <w:r w:rsidR="00941FDA" w:rsidRPr="00D91ABA">
        <w:rPr>
          <w:rStyle w:val="Emphasis"/>
          <w:bCs/>
          <w:i w:val="0"/>
          <w:color w:val="auto"/>
        </w:rPr>
        <w:t xml:space="preserve"> data were collected from Zhang </w:t>
      </w:r>
      <w:r w:rsidR="00941FDA" w:rsidRPr="003430C9">
        <w:rPr>
          <w:rStyle w:val="Emphasis"/>
          <w:bCs/>
          <w:color w:val="auto"/>
        </w:rPr>
        <w:t>et. al</w:t>
      </w:r>
      <w:r w:rsidR="00941FDA" w:rsidRPr="00D91ABA">
        <w:rPr>
          <w:rStyle w:val="Emphasis"/>
          <w:bCs/>
          <w:i w:val="0"/>
          <w:color w:val="auto"/>
        </w:rPr>
        <w:t xml:space="preserve">. database </w:t>
      </w:r>
      <w:r w:rsidR="00941FDA" w:rsidRPr="00D91ABA">
        <w:rPr>
          <w:rStyle w:val="Emphasis"/>
          <w:bCs/>
          <w:i w:val="0"/>
          <w:color w:val="auto"/>
        </w:rPr>
        <w:fldChar w:fldCharType="begin" w:fldLock="1"/>
      </w:r>
      <w:r w:rsidR="00941FDA" w:rsidRPr="00D91ABA">
        <w:rPr>
          <w:rStyle w:val="Emphasis"/>
          <w:bCs/>
          <w:i w:val="0"/>
          <w:color w:val="auto"/>
        </w:rPr>
        <w:instrText>ADDIN CSL_CITATION {"citationItems":[{"id":"ITEM-1","itemData":{"DOI":"10.1016/j.ijpharm.2017.02.059","ISSN":"18733476","abstract":"Experimental values of permeability coefficients, as log Kp, of chemical compounds across human skin were collected by carefully screening the literature, and adjusted to 37 °C for the effect of temperature. The values of log Kpfor partially ionized acids and bases were separated into those for their neutral and ionic species, forming a total data set of 247 compounds and species (including 35 ionic species). The obtained log Kpvalues have been regressed against Abraham solute descriptors to yield a correlation equation with R2 = 0.866 and SD = 0.432 log units. The equation can provide valid predictions for log Kpof neutral molecules, ions and ionic species, with predictive R2 = 0.858 and predictive SD = 0.445 log units calculated by the leave-one-out statistics. The predicted log Kpvalues for Na+and Et4N+are in good agreement with the observed values. We calculated the values of log Kpof ketoprofen as a function of the pH of the donor solution, and found that log Kpmarkedly varies only when ketoprofen is largely ionized. This explains why models that neglect ionization of permeants still yield reasonable statistical results. The effect of skin thickness on log Kpwas investigated by inclusion of two indicator variables, one for intermediate thickness skin and one for full thickness skin, into the above equation. The newly obtained equations were found to be statistically very close to the above equation. Therefore, the thickness of human skin used makes little difference to the experimental values of log Kp.","author":[{"dropping-particle":"","family":"Zhang","given":"Keda","non-dropping-particle":"","parse-names":false,"suffix":""},{"dropping-particle":"","family":"Abraham","given":"Michael H.","non-dropping-particle":"","parse-names":false,"suffix":""},{"dropping-particle":"","family":"Liu","given":"Xiangli","non-dropping-particle":"","parse-names":false,"suffix":""}],"container-title":"International Journal of Pharmaceutics","id":"ITEM-1","issue":"1-2","issued":{"date-parts":[["2017"]]},"page":"259-266","publisher":"Elsevier B.V.","title":"An equation for the prediction of human skin permeability of neutral molecules, ions and ionic species","type":"article-journal","volume":"521"},"uris":["http://www.mendeley.com/documents/?uuid=ec1b31d8-8244-4c46-ac8d-c8080cda3b28"]}],"mendeley":{"formattedCitation":"[18]","plainTextFormattedCitation":"[18]","previouslyFormattedCitation":"[18]"},"properties":{"noteIndex":0},"schema":"https://github.com/citation-style-language/schema/raw/master/csl-citation.json"}</w:instrText>
      </w:r>
      <w:r w:rsidR="00941FDA" w:rsidRPr="00D91ABA">
        <w:rPr>
          <w:rStyle w:val="Emphasis"/>
          <w:bCs/>
          <w:i w:val="0"/>
          <w:color w:val="auto"/>
        </w:rPr>
        <w:fldChar w:fldCharType="separate"/>
      </w:r>
      <w:r w:rsidR="00941FDA" w:rsidRPr="00D91ABA">
        <w:rPr>
          <w:rStyle w:val="Emphasis"/>
          <w:bCs/>
          <w:i w:val="0"/>
          <w:noProof/>
          <w:color w:val="auto"/>
        </w:rPr>
        <w:t>[18]</w:t>
      </w:r>
      <w:r w:rsidR="00941FDA" w:rsidRPr="00D91ABA">
        <w:rPr>
          <w:rStyle w:val="Emphasis"/>
          <w:bCs/>
          <w:i w:val="0"/>
          <w:color w:val="auto"/>
        </w:rPr>
        <w:fldChar w:fldCharType="end"/>
      </w:r>
      <w:r w:rsidR="008C0B61" w:rsidRPr="00D91ABA">
        <w:rPr>
          <w:rStyle w:val="Emphasis"/>
          <w:bCs/>
          <w:i w:val="0"/>
          <w:color w:val="auto"/>
        </w:rPr>
        <w:t xml:space="preserve">. </w:t>
      </w:r>
      <w:r w:rsidR="00941FDA" w:rsidRPr="00D91ABA">
        <w:t xml:space="preserve">Table 3 shows the log </w:t>
      </w:r>
      <w:proofErr w:type="spellStart"/>
      <w:proofErr w:type="gramStart"/>
      <w:r w:rsidR="00941FDA" w:rsidRPr="003430C9">
        <w:rPr>
          <w:i/>
        </w:rPr>
        <w:t>K</w:t>
      </w:r>
      <w:r w:rsidR="00941FDA" w:rsidRPr="00D91ABA">
        <w:rPr>
          <w:vertAlign w:val="subscript"/>
        </w:rPr>
        <w:t>p</w:t>
      </w:r>
      <w:proofErr w:type="spellEnd"/>
      <w:proofErr w:type="gramEnd"/>
      <w:r w:rsidR="00941FDA" w:rsidRPr="00D91ABA">
        <w:t xml:space="preserve"> and log </w:t>
      </w:r>
      <w:proofErr w:type="spellStart"/>
      <w:r w:rsidR="00941FDA" w:rsidRPr="003430C9">
        <w:rPr>
          <w:i/>
        </w:rPr>
        <w:t>P</w:t>
      </w:r>
      <w:r w:rsidR="00941FDA" w:rsidRPr="00D91ABA">
        <w:rPr>
          <w:vertAlign w:val="subscript"/>
        </w:rPr>
        <w:t>e</w:t>
      </w:r>
      <w:proofErr w:type="spellEnd"/>
      <w:r w:rsidR="00941FDA" w:rsidRPr="00D91ABA">
        <w:t xml:space="preserve"> values of the compounds used in the correlation.</w:t>
      </w:r>
      <w:r w:rsidR="000A03F1" w:rsidRPr="00D91ABA">
        <w:t xml:space="preserve"> Each compound was measured at the pH corresponding to the neutral form. </w:t>
      </w:r>
      <w:r w:rsidR="00941FDA" w:rsidRPr="00D91ABA">
        <w:t xml:space="preserve">Figure 4 plots the log </w:t>
      </w:r>
      <w:proofErr w:type="spellStart"/>
      <w:proofErr w:type="gramStart"/>
      <w:r w:rsidR="00941FDA" w:rsidRPr="00CC5A86">
        <w:rPr>
          <w:i/>
        </w:rPr>
        <w:t>K</w:t>
      </w:r>
      <w:r w:rsidR="00941FDA" w:rsidRPr="00D91ABA">
        <w:rPr>
          <w:vertAlign w:val="subscript"/>
        </w:rPr>
        <w:t>p</w:t>
      </w:r>
      <w:proofErr w:type="spellEnd"/>
      <w:proofErr w:type="gramEnd"/>
      <w:r w:rsidR="00941FDA" w:rsidRPr="00D91ABA">
        <w:t xml:space="preserve"> vs. the log </w:t>
      </w:r>
      <w:proofErr w:type="spellStart"/>
      <w:r w:rsidR="00941FDA" w:rsidRPr="003430C9">
        <w:rPr>
          <w:i/>
        </w:rPr>
        <w:t>P</w:t>
      </w:r>
      <w:r w:rsidR="00941FDA" w:rsidRPr="00D91ABA">
        <w:rPr>
          <w:vertAlign w:val="subscript"/>
        </w:rPr>
        <w:t>e</w:t>
      </w:r>
      <w:proofErr w:type="spellEnd"/>
      <w:r w:rsidR="00941FDA" w:rsidRPr="00D91ABA">
        <w:t xml:space="preserve"> values whose correlation is presented in Eq. (7):</w:t>
      </w:r>
    </w:p>
    <w:p w14:paraId="4710F07A" w14:textId="1632F377" w:rsidR="00941FDA" w:rsidRPr="00D91ABA" w:rsidRDefault="00941FDA" w:rsidP="00941FDA">
      <w:pPr>
        <w:pStyle w:val="ADMETtext"/>
        <w:jc w:val="left"/>
        <w:rPr>
          <w:color w:val="auto"/>
        </w:rPr>
      </w:pPr>
      <w:proofErr w:type="gramStart"/>
      <w:r w:rsidRPr="00D91ABA">
        <w:rPr>
          <w:color w:val="auto"/>
        </w:rPr>
        <w:lastRenderedPageBreak/>
        <w:t>log</w:t>
      </w:r>
      <w:proofErr w:type="gramEnd"/>
      <w:r w:rsidRPr="00D91ABA">
        <w:rPr>
          <w:color w:val="auto"/>
        </w:rPr>
        <w:t xml:space="preserve"> </w:t>
      </w:r>
      <w:proofErr w:type="spellStart"/>
      <w:r w:rsidRPr="00CC5A86">
        <w:rPr>
          <w:i/>
          <w:color w:val="auto"/>
        </w:rPr>
        <w:t>K</w:t>
      </w:r>
      <w:r w:rsidRPr="00D91ABA">
        <w:rPr>
          <w:color w:val="auto"/>
          <w:vertAlign w:val="subscript"/>
        </w:rPr>
        <w:t>p</w:t>
      </w:r>
      <w:proofErr w:type="spellEnd"/>
      <w:r w:rsidRPr="00D91ABA">
        <w:rPr>
          <w:color w:val="auto"/>
        </w:rPr>
        <w:t xml:space="preserve"> = - 0.143(±0.403) + 1.156(±0.080)</w:t>
      </w:r>
      <w:r w:rsidR="00CC5A86">
        <w:rPr>
          <w:color w:val="auto"/>
        </w:rPr>
        <w:t xml:space="preserve"> </w:t>
      </w:r>
      <w:r w:rsidRPr="00D91ABA">
        <w:rPr>
          <w:color w:val="auto"/>
        </w:rPr>
        <w:t xml:space="preserve">log </w:t>
      </w:r>
      <w:proofErr w:type="spellStart"/>
      <w:r w:rsidRPr="00CC5A86">
        <w:rPr>
          <w:i/>
          <w:color w:val="auto"/>
        </w:rPr>
        <w:t>P</w:t>
      </w:r>
      <w:r w:rsidRPr="00D91ABA">
        <w:rPr>
          <w:color w:val="auto"/>
          <w:vertAlign w:val="subscript"/>
        </w:rPr>
        <w:t>e</w:t>
      </w:r>
      <w:proofErr w:type="spellEnd"/>
      <w:r w:rsidRPr="00D91ABA">
        <w:rPr>
          <w:color w:val="auto"/>
        </w:rPr>
        <w:t xml:space="preserve">                                                                                                    (7)</w:t>
      </w:r>
    </w:p>
    <w:p w14:paraId="6FE6590D" w14:textId="77777777" w:rsidR="00941FDA" w:rsidRPr="00D91ABA" w:rsidRDefault="00941FDA" w:rsidP="009E484D">
      <w:pPr>
        <w:pStyle w:val="ADMETtext"/>
        <w:spacing w:before="0"/>
        <w:rPr>
          <w:color w:val="auto"/>
        </w:rPr>
      </w:pPr>
      <w:r w:rsidRPr="00D91ABA">
        <w:rPr>
          <w:color w:val="auto"/>
        </w:rPr>
        <w:t>n = 46</w:t>
      </w:r>
      <w:r w:rsidRPr="00D91ABA">
        <w:rPr>
          <w:color w:val="auto"/>
        </w:rPr>
        <w:tab/>
        <w:t>R</w:t>
      </w:r>
      <w:r w:rsidRPr="00D91ABA">
        <w:rPr>
          <w:color w:val="auto"/>
          <w:vertAlign w:val="superscript"/>
        </w:rPr>
        <w:t>2</w:t>
      </w:r>
      <w:r w:rsidRPr="00D91ABA">
        <w:rPr>
          <w:color w:val="auto"/>
        </w:rPr>
        <w:t xml:space="preserve"> = 0.826</w:t>
      </w:r>
      <w:r w:rsidRPr="00D91ABA">
        <w:rPr>
          <w:color w:val="auto"/>
        </w:rPr>
        <w:tab/>
        <w:t>SD = 0.434</w:t>
      </w:r>
      <w:r w:rsidRPr="00D91ABA">
        <w:rPr>
          <w:color w:val="auto"/>
        </w:rPr>
        <w:tab/>
        <w:t>F = 208</w:t>
      </w:r>
    </w:p>
    <w:p w14:paraId="72F34021" w14:textId="63E2289F" w:rsidR="00941FDA" w:rsidRPr="00D91ABA" w:rsidRDefault="00941FDA" w:rsidP="009E484D">
      <w:pPr>
        <w:pStyle w:val="ADMETtext"/>
        <w:spacing w:before="0"/>
        <w:rPr>
          <w:color w:val="auto"/>
        </w:rPr>
      </w:pPr>
      <w:proofErr w:type="gramStart"/>
      <w:r w:rsidRPr="00D91ABA">
        <w:rPr>
          <w:color w:val="auto"/>
        </w:rPr>
        <w:t>A good correlation between human skin and skin-PAMPA data and adequate statistical parameters have</w:t>
      </w:r>
      <w:proofErr w:type="gramEnd"/>
      <w:r w:rsidRPr="00D91ABA">
        <w:rPr>
          <w:color w:val="auto"/>
        </w:rPr>
        <w:t xml:space="preserve"> been obtained.</w:t>
      </w:r>
    </w:p>
    <w:p w14:paraId="7F76CB67" w14:textId="4EF583AE" w:rsidR="009E484D" w:rsidRDefault="00DD5921" w:rsidP="00B617E7">
      <w:pPr>
        <w:pStyle w:val="ADMETheading"/>
        <w:spacing w:before="0"/>
        <w:jc w:val="center"/>
        <w:rPr>
          <w:lang w:val="en-GB"/>
        </w:rPr>
      </w:pPr>
      <w:r>
        <w:rPr>
          <w:noProof/>
          <w:lang w:val="en-GB" w:eastAsia="en-GB"/>
        </w:rPr>
        <w:drawing>
          <wp:inline distT="0" distB="0" distL="0" distR="0" wp14:anchorId="3BC984BA" wp14:editId="21F16DE9">
            <wp:extent cx="5692340" cy="7867461"/>
            <wp:effectExtent l="0" t="0" r="381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16">
                      <a:extLst>
                        <a:ext uri="{28A0092B-C50C-407E-A947-70E740481C1C}">
                          <a14:useLocalDpi xmlns:a14="http://schemas.microsoft.com/office/drawing/2010/main" val="0"/>
                        </a:ext>
                      </a:extLst>
                    </a:blip>
                    <a:stretch>
                      <a:fillRect/>
                    </a:stretch>
                  </pic:blipFill>
                  <pic:spPr>
                    <a:xfrm>
                      <a:off x="0" y="0"/>
                      <a:ext cx="5694064" cy="7869844"/>
                    </a:xfrm>
                    <a:prstGeom prst="rect">
                      <a:avLst/>
                    </a:prstGeom>
                  </pic:spPr>
                </pic:pic>
              </a:graphicData>
            </a:graphic>
          </wp:inline>
        </w:drawing>
      </w:r>
    </w:p>
    <w:p w14:paraId="5B52A049" w14:textId="499867A6" w:rsidR="009E484D" w:rsidRPr="00D91ABA" w:rsidRDefault="009E484D" w:rsidP="00DD5921">
      <w:pPr>
        <w:pStyle w:val="ADMETfigurecaptions"/>
        <w:rPr>
          <w:b/>
          <w:lang w:val="en-GB"/>
        </w:rPr>
      </w:pPr>
      <w:proofErr w:type="gramStart"/>
      <w:r w:rsidRPr="00D91ABA">
        <w:rPr>
          <w:b/>
          <w:lang w:val="en-GB"/>
        </w:rPr>
        <w:t>Figure 3.</w:t>
      </w:r>
      <w:proofErr w:type="gramEnd"/>
      <w:r w:rsidRPr="00D91ABA">
        <w:rPr>
          <w:b/>
          <w:lang w:val="en-GB"/>
        </w:rPr>
        <w:t xml:space="preserve"> </w:t>
      </w:r>
      <w:r w:rsidRPr="00D91ABA">
        <w:rPr>
          <w:lang w:val="en-GB"/>
        </w:rPr>
        <w:t>Influence of treatment time and pH in skin-PAMPA permeability</w:t>
      </w:r>
      <w:r w:rsidRPr="00D91ABA">
        <w:rPr>
          <w:b/>
          <w:lang w:val="en-GB"/>
        </w:rPr>
        <w:t xml:space="preserve">. </w:t>
      </w:r>
      <w:r w:rsidRPr="00D91ABA">
        <w:rPr>
          <w:lang w:val="en-GB"/>
        </w:rPr>
        <w:t>Treatment time: 30 minutes (</w:t>
      </w:r>
      <w:r w:rsidRPr="00D91ABA">
        <w:rPr>
          <w:rFonts w:ascii="Arial" w:hAnsi="Arial" w:cs="Arial"/>
          <w:lang w:val="en-GB"/>
        </w:rPr>
        <w:t>▲</w:t>
      </w:r>
      <w:r w:rsidRPr="00D91ABA">
        <w:rPr>
          <w:lang w:val="en-GB"/>
        </w:rPr>
        <w:t>);</w:t>
      </w:r>
      <w:r w:rsidR="00DD5921">
        <w:rPr>
          <w:lang w:val="en-GB"/>
        </w:rPr>
        <w:t xml:space="preserve"> </w:t>
      </w:r>
      <w:r w:rsidRPr="00D91ABA">
        <w:rPr>
          <w:lang w:val="en-GB"/>
        </w:rPr>
        <w:t>4 hours (</w:t>
      </w:r>
      <w:r w:rsidR="00DD5921">
        <w:rPr>
          <w:rFonts w:ascii="Cambria Math" w:hAnsi="Cambria Math" w:cs="Cambria Math"/>
          <w:lang w:val="en-GB"/>
        </w:rPr>
        <w:t>∎</w:t>
      </w:r>
      <w:r w:rsidRPr="00D91ABA">
        <w:rPr>
          <w:lang w:val="en-GB"/>
        </w:rPr>
        <w:t>).</w:t>
      </w:r>
    </w:p>
    <w:p w14:paraId="582C1C25" w14:textId="77777777" w:rsidR="00571545" w:rsidRPr="00D91ABA" w:rsidRDefault="00571545" w:rsidP="00571545">
      <w:pPr>
        <w:pStyle w:val="ADMETtablecaptions"/>
        <w:ind w:left="1418" w:right="1423"/>
        <w:rPr>
          <w:lang w:val="en-GB"/>
        </w:rPr>
      </w:pPr>
      <w:proofErr w:type="gramStart"/>
      <w:r w:rsidRPr="00D91ABA">
        <w:rPr>
          <w:b/>
          <w:bCs/>
          <w:lang w:val="en-GB"/>
        </w:rPr>
        <w:lastRenderedPageBreak/>
        <w:t xml:space="preserve">Table </w:t>
      </w:r>
      <w:r w:rsidRPr="00D91ABA">
        <w:rPr>
          <w:lang w:val="en-GB"/>
        </w:rPr>
        <w:t>3.</w:t>
      </w:r>
      <w:proofErr w:type="gramEnd"/>
      <w:r w:rsidRPr="00D91ABA">
        <w:rPr>
          <w:lang w:val="en-GB"/>
        </w:rPr>
        <w:t xml:space="preserve"> </w:t>
      </w:r>
      <w:proofErr w:type="gramStart"/>
      <w:r w:rsidRPr="00D91ABA">
        <w:rPr>
          <w:lang w:val="en-GB"/>
        </w:rPr>
        <w:t>log</w:t>
      </w:r>
      <w:proofErr w:type="gramEnd"/>
      <w:r w:rsidRPr="00D91ABA">
        <w:rPr>
          <w:lang w:val="en-GB"/>
        </w:rPr>
        <w:t xml:space="preserve"> </w:t>
      </w:r>
      <w:proofErr w:type="spellStart"/>
      <w:r w:rsidRPr="00D91ABA">
        <w:rPr>
          <w:lang w:val="en-GB"/>
        </w:rPr>
        <w:t>K</w:t>
      </w:r>
      <w:r w:rsidRPr="00D91ABA">
        <w:rPr>
          <w:vertAlign w:val="subscript"/>
          <w:lang w:val="en-GB"/>
        </w:rPr>
        <w:t>p</w:t>
      </w:r>
      <w:proofErr w:type="spellEnd"/>
      <w:r w:rsidRPr="00D91ABA">
        <w:rPr>
          <w:lang w:val="en-GB"/>
        </w:rPr>
        <w:t xml:space="preserve"> and log </w:t>
      </w:r>
      <w:proofErr w:type="spellStart"/>
      <w:r w:rsidRPr="00D91ABA">
        <w:rPr>
          <w:lang w:val="en-GB"/>
        </w:rPr>
        <w:t>P</w:t>
      </w:r>
      <w:r w:rsidRPr="00D91ABA">
        <w:rPr>
          <w:vertAlign w:val="subscript"/>
          <w:lang w:val="en-GB"/>
        </w:rPr>
        <w:t>e</w:t>
      </w:r>
      <w:proofErr w:type="spellEnd"/>
      <w:r w:rsidRPr="00D91ABA">
        <w:rPr>
          <w:lang w:val="en-GB"/>
        </w:rPr>
        <w:t xml:space="preserve"> experimental values of the neutral form of the drugs. Both </w:t>
      </w:r>
      <w:proofErr w:type="spellStart"/>
      <w:proofErr w:type="gramStart"/>
      <w:r w:rsidRPr="00571545">
        <w:rPr>
          <w:i/>
          <w:lang w:val="en-GB"/>
        </w:rPr>
        <w:t>K</w:t>
      </w:r>
      <w:r w:rsidRPr="00D91ABA">
        <w:rPr>
          <w:vertAlign w:val="subscript"/>
          <w:lang w:val="en-GB"/>
        </w:rPr>
        <w:t>p</w:t>
      </w:r>
      <w:proofErr w:type="spellEnd"/>
      <w:proofErr w:type="gramEnd"/>
      <w:r w:rsidRPr="00D91ABA">
        <w:rPr>
          <w:lang w:val="en-GB"/>
        </w:rPr>
        <w:t xml:space="preserve"> and </w:t>
      </w:r>
      <w:proofErr w:type="spellStart"/>
      <w:r w:rsidRPr="00571545">
        <w:rPr>
          <w:i/>
          <w:lang w:val="en-GB"/>
        </w:rPr>
        <w:t>P</w:t>
      </w:r>
      <w:r w:rsidRPr="00D91ABA">
        <w:rPr>
          <w:vertAlign w:val="subscript"/>
          <w:lang w:val="en-GB"/>
        </w:rPr>
        <w:t>e</w:t>
      </w:r>
      <w:proofErr w:type="spellEnd"/>
      <w:r w:rsidRPr="00D91ABA">
        <w:rPr>
          <w:lang w:val="en-GB"/>
        </w:rPr>
        <w:t xml:space="preserve"> in cm/s units. </w:t>
      </w:r>
    </w:p>
    <w:tbl>
      <w:tblPr>
        <w:tblW w:w="0" w:type="auto"/>
        <w:jc w:val="center"/>
        <w:tblInd w:w="-451" w:type="dxa"/>
        <w:tblCellMar>
          <w:left w:w="70" w:type="dxa"/>
          <w:right w:w="70" w:type="dxa"/>
        </w:tblCellMar>
        <w:tblLook w:val="04A0" w:firstRow="1" w:lastRow="0" w:firstColumn="1" w:lastColumn="0" w:noHBand="0" w:noVBand="1"/>
      </w:tblPr>
      <w:tblGrid>
        <w:gridCol w:w="4038"/>
        <w:gridCol w:w="1375"/>
        <w:gridCol w:w="1559"/>
      </w:tblGrid>
      <w:tr w:rsidR="00571545" w:rsidRPr="00571545" w14:paraId="0B0B48EC" w14:textId="77777777" w:rsidTr="00571545">
        <w:trPr>
          <w:trHeight w:val="283"/>
          <w:jc w:val="center"/>
        </w:trPr>
        <w:tc>
          <w:tcPr>
            <w:tcW w:w="4038" w:type="dxa"/>
            <w:tcBorders>
              <w:top w:val="single" w:sz="4" w:space="0" w:color="auto"/>
              <w:bottom w:val="single" w:sz="4" w:space="0" w:color="auto"/>
            </w:tcBorders>
            <w:shd w:val="clear" w:color="auto" w:fill="auto"/>
            <w:noWrap/>
            <w:vAlign w:val="center"/>
            <w:hideMark/>
          </w:tcPr>
          <w:p w14:paraId="2DEC1580" w14:textId="2E874F3C" w:rsidR="00571545" w:rsidRPr="00571545" w:rsidRDefault="00571545" w:rsidP="00571545">
            <w:pPr>
              <w:spacing w:line="240" w:lineRule="auto"/>
              <w:rPr>
                <w:rFonts w:cs="Arial"/>
                <w:b/>
                <w:bCs/>
                <w:color w:val="auto"/>
                <w:sz w:val="18"/>
                <w:szCs w:val="18"/>
                <w:lang w:eastAsia="es-ES"/>
              </w:rPr>
            </w:pPr>
            <w:r w:rsidRPr="00571545">
              <w:rPr>
                <w:rFonts w:cs="Arial"/>
                <w:b/>
                <w:bCs/>
                <w:color w:val="auto"/>
                <w:sz w:val="18"/>
                <w:szCs w:val="18"/>
                <w:lang w:eastAsia="es-ES"/>
              </w:rPr>
              <w:t>Solut</w:t>
            </w:r>
            <w:r>
              <w:rPr>
                <w:rFonts w:cs="Arial"/>
                <w:b/>
                <w:bCs/>
                <w:color w:val="auto"/>
                <w:sz w:val="18"/>
                <w:szCs w:val="18"/>
                <w:lang w:eastAsia="es-ES"/>
              </w:rPr>
              <w:t>e</w:t>
            </w:r>
            <w:r w:rsidRPr="00571545">
              <w:rPr>
                <w:rFonts w:cs="Arial"/>
                <w:b/>
                <w:bCs/>
                <w:color w:val="auto"/>
                <w:sz w:val="18"/>
                <w:szCs w:val="18"/>
                <w:lang w:eastAsia="es-ES"/>
              </w:rPr>
              <w:t>s</w:t>
            </w:r>
          </w:p>
        </w:tc>
        <w:tc>
          <w:tcPr>
            <w:tcW w:w="1375" w:type="dxa"/>
            <w:tcBorders>
              <w:top w:val="single" w:sz="4" w:space="0" w:color="auto"/>
              <w:bottom w:val="single" w:sz="4" w:space="0" w:color="auto"/>
              <w:right w:val="nil"/>
            </w:tcBorders>
            <w:vAlign w:val="center"/>
          </w:tcPr>
          <w:p w14:paraId="55018B5E" w14:textId="77777777" w:rsidR="00571545" w:rsidRPr="00571545" w:rsidRDefault="00571545" w:rsidP="00571545">
            <w:pPr>
              <w:spacing w:line="240" w:lineRule="auto"/>
              <w:jc w:val="center"/>
              <w:rPr>
                <w:rFonts w:cs="Arial"/>
                <w:b/>
                <w:bCs/>
                <w:color w:val="auto"/>
                <w:sz w:val="18"/>
                <w:szCs w:val="18"/>
                <w:lang w:val="es-ES" w:eastAsia="es-ES"/>
              </w:rPr>
            </w:pPr>
            <w:r w:rsidRPr="00571545">
              <w:rPr>
                <w:rFonts w:cs="Arial"/>
                <w:b/>
                <w:bCs/>
                <w:color w:val="auto"/>
                <w:sz w:val="18"/>
                <w:szCs w:val="18"/>
                <w:lang w:eastAsia="es-ES"/>
              </w:rPr>
              <w:t xml:space="preserve">log </w:t>
            </w:r>
            <w:proofErr w:type="spellStart"/>
            <w:r w:rsidRPr="00571545">
              <w:rPr>
                <w:rFonts w:cs="Arial"/>
                <w:b/>
                <w:bCs/>
                <w:i/>
                <w:color w:val="auto"/>
                <w:sz w:val="18"/>
                <w:szCs w:val="18"/>
                <w:lang w:eastAsia="es-ES"/>
              </w:rPr>
              <w:t>K</w:t>
            </w:r>
            <w:r w:rsidRPr="00571545">
              <w:rPr>
                <w:rFonts w:cs="Arial"/>
                <w:b/>
                <w:bCs/>
                <w:color w:val="auto"/>
                <w:sz w:val="18"/>
                <w:szCs w:val="18"/>
                <w:vertAlign w:val="subscript"/>
                <w:lang w:eastAsia="es-ES"/>
              </w:rPr>
              <w:t>p</w:t>
            </w:r>
            <w:proofErr w:type="spellEnd"/>
            <w:r w:rsidRPr="00571545">
              <w:rPr>
                <w:rFonts w:cs="Arial"/>
                <w:b/>
                <w:bCs/>
                <w:color w:val="auto"/>
                <w:sz w:val="18"/>
                <w:szCs w:val="18"/>
                <w:vertAlign w:val="subscript"/>
                <w:lang w:eastAsia="es-ES"/>
              </w:rPr>
              <w:t xml:space="preserve"> </w:t>
            </w:r>
            <w:r w:rsidRPr="00571545">
              <w:rPr>
                <w:rFonts w:cs="Arial"/>
                <w:b/>
                <w:bCs/>
                <w:color w:val="auto"/>
                <w:sz w:val="18"/>
                <w:szCs w:val="18"/>
                <w:vertAlign w:val="subscript"/>
                <w:lang w:val="es-ES" w:eastAsia="es-ES"/>
              </w:rPr>
              <w:fldChar w:fldCharType="begin" w:fldLock="1"/>
            </w:r>
            <w:r w:rsidRPr="00571545">
              <w:rPr>
                <w:rFonts w:cs="Arial"/>
                <w:b/>
                <w:bCs/>
                <w:color w:val="auto"/>
                <w:sz w:val="18"/>
                <w:szCs w:val="18"/>
                <w:vertAlign w:val="subscript"/>
                <w:lang w:eastAsia="es-ES"/>
              </w:rPr>
              <w:instrText>ADDIN CSL_CITATION {"citationItems":[{"id":"ITEM-1","itemData":{"DOI":"10.1016/j.ijpharm.2017.02.059","ISSN":"18733476","abstract":"Experimental values of permeability coefficients, as log Kp, of chemical compounds across human skin were collected by carefully screening the literature, and adjusted to 37 °C for the effect of temperature. The values of log Kpfor partially ionized acids and bases were separated into those for their neutral and ionic species, forming a total data set of 247 compounds and species (including 35 ionic species). The obtained log Kpvalues have been regressed against Abraham solute descriptors to yield a correlation equation with R2 = 0.866 and SD = 0.432 log units. The equation can provide valid predictions for log Kpof neutral molecules, ions and ionic species, with predictive R2 = 0.858 and predictive SD = 0.445 log units calculated by the leave-one-out statistics. The predicted log Kpvalues for Na+and Et4N+are in good agreement with the observed values. We calculated the values of log Kpof ketoprofen as a function of the pH of the donor solution, and found that log Kpmarkedly varies only when ketoprofen is largely ionized. This explains why models that neglect ionization of permeants still yield reasonable statistical results. The effect of skin thickness on log Kpwas investigated by inclusion of two indicator variables, one for i</w:instrText>
            </w:r>
            <w:r w:rsidRPr="00571545">
              <w:rPr>
                <w:rFonts w:cs="Arial"/>
                <w:b/>
                <w:bCs/>
                <w:color w:val="auto"/>
                <w:sz w:val="18"/>
                <w:szCs w:val="18"/>
                <w:vertAlign w:val="subscript"/>
                <w:lang w:val="es-ES" w:eastAsia="es-ES"/>
              </w:rPr>
              <w:instrText>ntermediate thickness skin and one for full thickness skin, into the above equation. The newly obtained equations were found to be statistically very close to the above equation. Therefore, the thickness of human skin used makes little difference to the experimental values of log Kp.","author":[{"dropping-particle":"","family":"Zhang","given":"Keda","non-dropping-particle":"","parse-names":false,"suffix":""},{"dropping-particle":"","family":"Abraham","given":"Michael H.","non-dropping-particle":"","parse-names":false,"suffix":""},{"dropping-particle":"","family":"Liu","given":"Xiangli","non-dropping-particle":"","parse-names":false,"suffix":""}],"container-title":"International Journal of Pharmaceutics","id":"ITEM-1","issue":"1-2","issued":{"date-parts":[["2017"]]},"page":"259-266","publisher":"Elsevier B.V.","title":"An equation for the prediction of human skin permeability of neutral molecules, ions and ionic species","type":"article-journal","volume":"521"},"uris":["http://www.mendeley.com/documents/?uuid=ec1b31d8-8244-4c46-ac8d-c8080cda3b28"]}],"mendeley":{"formattedCitation":"[18]","plainTextFormattedCitation":"[18]","previouslyFormattedCitation":"[18]"},"properties":{"noteIndex":0},"schema":"https://github.com/citation-style-language/schema/raw/master/csl-citation.json"}</w:instrText>
            </w:r>
            <w:r w:rsidRPr="00571545">
              <w:rPr>
                <w:rFonts w:cs="Arial"/>
                <w:b/>
                <w:bCs/>
                <w:color w:val="auto"/>
                <w:sz w:val="18"/>
                <w:szCs w:val="18"/>
                <w:vertAlign w:val="subscript"/>
                <w:lang w:val="es-ES" w:eastAsia="es-ES"/>
              </w:rPr>
              <w:fldChar w:fldCharType="separate"/>
            </w:r>
            <w:r w:rsidRPr="00571545">
              <w:rPr>
                <w:rFonts w:cs="Arial"/>
                <w:bCs/>
                <w:noProof/>
                <w:color w:val="auto"/>
                <w:sz w:val="18"/>
                <w:szCs w:val="18"/>
                <w:lang w:val="es-ES" w:eastAsia="es-ES"/>
              </w:rPr>
              <w:t>[18]</w:t>
            </w:r>
            <w:r w:rsidRPr="00571545">
              <w:rPr>
                <w:rFonts w:cs="Arial"/>
                <w:b/>
                <w:bCs/>
                <w:color w:val="auto"/>
                <w:sz w:val="18"/>
                <w:szCs w:val="18"/>
                <w:vertAlign w:val="subscript"/>
                <w:lang w:val="es-ES" w:eastAsia="es-ES"/>
              </w:rPr>
              <w:fldChar w:fldCharType="end"/>
            </w:r>
          </w:p>
        </w:tc>
        <w:tc>
          <w:tcPr>
            <w:tcW w:w="1559" w:type="dxa"/>
            <w:tcBorders>
              <w:top w:val="single" w:sz="4" w:space="0" w:color="auto"/>
              <w:left w:val="nil"/>
              <w:bottom w:val="single" w:sz="4" w:space="0" w:color="auto"/>
            </w:tcBorders>
            <w:shd w:val="clear" w:color="auto" w:fill="auto"/>
            <w:vAlign w:val="center"/>
          </w:tcPr>
          <w:p w14:paraId="374C7402" w14:textId="77777777" w:rsidR="00571545" w:rsidRPr="00571545" w:rsidRDefault="00571545" w:rsidP="00571545">
            <w:pPr>
              <w:spacing w:line="240" w:lineRule="auto"/>
              <w:jc w:val="center"/>
              <w:rPr>
                <w:rFonts w:cs="Arial"/>
                <w:b/>
                <w:bCs/>
                <w:color w:val="auto"/>
                <w:sz w:val="18"/>
                <w:szCs w:val="18"/>
                <w:lang w:val="es-ES" w:eastAsia="es-ES"/>
              </w:rPr>
            </w:pPr>
            <w:r w:rsidRPr="00571545">
              <w:rPr>
                <w:rFonts w:cs="Arial"/>
                <w:b/>
                <w:bCs/>
                <w:color w:val="auto"/>
                <w:sz w:val="18"/>
                <w:szCs w:val="18"/>
                <w:lang w:val="es-ES" w:eastAsia="es-ES"/>
              </w:rPr>
              <w:t xml:space="preserve">log </w:t>
            </w:r>
            <w:r w:rsidRPr="00571545">
              <w:rPr>
                <w:rFonts w:cs="Arial"/>
                <w:b/>
                <w:bCs/>
                <w:i/>
                <w:color w:val="auto"/>
                <w:sz w:val="18"/>
                <w:szCs w:val="18"/>
                <w:lang w:val="es-ES" w:eastAsia="es-ES"/>
              </w:rPr>
              <w:t>P</w:t>
            </w:r>
            <w:r w:rsidRPr="00571545">
              <w:rPr>
                <w:rFonts w:cs="Arial"/>
                <w:b/>
                <w:bCs/>
                <w:color w:val="auto"/>
                <w:sz w:val="18"/>
                <w:szCs w:val="18"/>
                <w:vertAlign w:val="subscript"/>
                <w:lang w:val="es-ES" w:eastAsia="es-ES"/>
              </w:rPr>
              <w:t>e</w:t>
            </w:r>
          </w:p>
        </w:tc>
      </w:tr>
      <w:tr w:rsidR="00571545" w:rsidRPr="00571545" w14:paraId="505A03F5" w14:textId="77777777" w:rsidTr="00571545">
        <w:trPr>
          <w:trHeight w:val="227"/>
          <w:jc w:val="center"/>
        </w:trPr>
        <w:tc>
          <w:tcPr>
            <w:tcW w:w="4038" w:type="dxa"/>
            <w:tcBorders>
              <w:top w:val="single" w:sz="4" w:space="0" w:color="auto"/>
            </w:tcBorders>
            <w:shd w:val="clear" w:color="auto" w:fill="auto"/>
            <w:noWrap/>
            <w:vAlign w:val="center"/>
            <w:hideMark/>
          </w:tcPr>
          <w:p w14:paraId="4AF93131"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2,4-Dichlorophenol</w:t>
            </w:r>
          </w:p>
        </w:tc>
        <w:tc>
          <w:tcPr>
            <w:tcW w:w="1375" w:type="dxa"/>
            <w:tcBorders>
              <w:top w:val="single" w:sz="4" w:space="0" w:color="auto"/>
              <w:right w:val="nil"/>
            </w:tcBorders>
          </w:tcPr>
          <w:p w14:paraId="54E10C20"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-4.30</w:t>
            </w:r>
          </w:p>
        </w:tc>
        <w:tc>
          <w:tcPr>
            <w:tcW w:w="1559" w:type="dxa"/>
            <w:tcBorders>
              <w:top w:val="single" w:sz="4" w:space="0" w:color="auto"/>
              <w:left w:val="nil"/>
            </w:tcBorders>
            <w:shd w:val="clear" w:color="auto" w:fill="auto"/>
            <w:vAlign w:val="center"/>
          </w:tcPr>
          <w:p w14:paraId="589B13F8"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-3.92± 0.00</w:t>
            </w:r>
          </w:p>
        </w:tc>
      </w:tr>
      <w:tr w:rsidR="00571545" w:rsidRPr="00571545" w14:paraId="4A7C4210" w14:textId="77777777" w:rsidTr="00571545">
        <w:trPr>
          <w:trHeight w:val="227"/>
          <w:jc w:val="center"/>
        </w:trPr>
        <w:tc>
          <w:tcPr>
            <w:tcW w:w="4038" w:type="dxa"/>
            <w:tcBorders>
              <w:top w:val="nil"/>
            </w:tcBorders>
            <w:shd w:val="clear" w:color="auto" w:fill="auto"/>
            <w:noWrap/>
            <w:vAlign w:val="center"/>
            <w:hideMark/>
          </w:tcPr>
          <w:p w14:paraId="2856B94E"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2-Isopropyl-5-Methylphenol (</w:t>
            </w:r>
            <w:proofErr w:type="spellStart"/>
            <w:r w:rsidRPr="00571545">
              <w:rPr>
                <w:rFonts w:cs="Arial"/>
                <w:color w:val="auto"/>
                <w:sz w:val="18"/>
                <w:szCs w:val="18"/>
                <w:lang w:val="es-ES" w:eastAsia="es-ES"/>
              </w:rPr>
              <w:t>Thymol</w:t>
            </w:r>
            <w:proofErr w:type="spellEnd"/>
            <w:r w:rsidRPr="00571545">
              <w:rPr>
                <w:rFonts w:cs="Arial"/>
                <w:color w:val="auto"/>
                <w:sz w:val="18"/>
                <w:szCs w:val="18"/>
                <w:lang w:val="es-ES" w:eastAsia="es-ES"/>
              </w:rPr>
              <w:t>)</w:t>
            </w:r>
          </w:p>
        </w:tc>
        <w:tc>
          <w:tcPr>
            <w:tcW w:w="1375" w:type="dxa"/>
            <w:tcBorders>
              <w:top w:val="nil"/>
              <w:right w:val="nil"/>
            </w:tcBorders>
          </w:tcPr>
          <w:p w14:paraId="220F9D03"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-4.35</w:t>
            </w:r>
          </w:p>
        </w:tc>
        <w:tc>
          <w:tcPr>
            <w:tcW w:w="1559" w:type="dxa"/>
            <w:tcBorders>
              <w:top w:val="nil"/>
              <w:left w:val="nil"/>
            </w:tcBorders>
            <w:shd w:val="clear" w:color="auto" w:fill="auto"/>
            <w:vAlign w:val="center"/>
          </w:tcPr>
          <w:p w14:paraId="4C072DFE"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-4.01± 0.00</w:t>
            </w:r>
          </w:p>
        </w:tc>
      </w:tr>
      <w:tr w:rsidR="00571545" w:rsidRPr="00571545" w14:paraId="3C1BFD35" w14:textId="77777777" w:rsidTr="00571545">
        <w:trPr>
          <w:trHeight w:val="227"/>
          <w:jc w:val="center"/>
        </w:trPr>
        <w:tc>
          <w:tcPr>
            <w:tcW w:w="4038" w:type="dxa"/>
            <w:tcBorders>
              <w:top w:val="nil"/>
            </w:tcBorders>
            <w:shd w:val="clear" w:color="auto" w:fill="auto"/>
            <w:noWrap/>
            <w:vAlign w:val="center"/>
            <w:hideMark/>
          </w:tcPr>
          <w:p w14:paraId="1BFF4305"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2-Nitro-p-phenylenediamine</w:t>
            </w:r>
          </w:p>
        </w:tc>
        <w:tc>
          <w:tcPr>
            <w:tcW w:w="1375" w:type="dxa"/>
            <w:tcBorders>
              <w:top w:val="nil"/>
              <w:right w:val="nil"/>
            </w:tcBorders>
          </w:tcPr>
          <w:p w14:paraId="2ABADD2D"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-6.66</w:t>
            </w:r>
          </w:p>
        </w:tc>
        <w:tc>
          <w:tcPr>
            <w:tcW w:w="1559" w:type="dxa"/>
            <w:tcBorders>
              <w:top w:val="nil"/>
              <w:left w:val="nil"/>
            </w:tcBorders>
            <w:shd w:val="clear" w:color="auto" w:fill="auto"/>
            <w:vAlign w:val="center"/>
          </w:tcPr>
          <w:p w14:paraId="5DC3D054"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-5.25±0.02</w:t>
            </w:r>
          </w:p>
        </w:tc>
      </w:tr>
      <w:tr w:rsidR="00571545" w:rsidRPr="00571545" w14:paraId="21D1E07F" w14:textId="77777777" w:rsidTr="00571545">
        <w:trPr>
          <w:trHeight w:val="227"/>
          <w:jc w:val="center"/>
        </w:trPr>
        <w:tc>
          <w:tcPr>
            <w:tcW w:w="4038" w:type="dxa"/>
            <w:tcBorders>
              <w:top w:val="nil"/>
            </w:tcBorders>
            <w:shd w:val="clear" w:color="auto" w:fill="auto"/>
            <w:noWrap/>
            <w:vAlign w:val="center"/>
            <w:hideMark/>
          </w:tcPr>
          <w:p w14:paraId="18CDBA2A"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3-Methylphenol (m-</w:t>
            </w:r>
            <w:proofErr w:type="spellStart"/>
            <w:r w:rsidRPr="00571545">
              <w:rPr>
                <w:rFonts w:cs="Arial"/>
                <w:color w:val="auto"/>
                <w:sz w:val="18"/>
                <w:szCs w:val="18"/>
                <w:lang w:val="es-ES" w:eastAsia="es-ES"/>
              </w:rPr>
              <w:t>Cresol</w:t>
            </w:r>
            <w:proofErr w:type="spellEnd"/>
            <w:r w:rsidRPr="00571545">
              <w:rPr>
                <w:rFonts w:cs="Arial"/>
                <w:color w:val="auto"/>
                <w:sz w:val="18"/>
                <w:szCs w:val="18"/>
                <w:lang w:val="es-ES" w:eastAsia="es-ES"/>
              </w:rPr>
              <w:t>)</w:t>
            </w:r>
          </w:p>
        </w:tc>
        <w:tc>
          <w:tcPr>
            <w:tcW w:w="1375" w:type="dxa"/>
            <w:tcBorders>
              <w:top w:val="nil"/>
              <w:right w:val="nil"/>
            </w:tcBorders>
          </w:tcPr>
          <w:p w14:paraId="276BA3EB"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-4.89</w:t>
            </w:r>
          </w:p>
        </w:tc>
        <w:tc>
          <w:tcPr>
            <w:tcW w:w="1559" w:type="dxa"/>
            <w:tcBorders>
              <w:top w:val="nil"/>
              <w:left w:val="nil"/>
            </w:tcBorders>
            <w:shd w:val="clear" w:color="auto" w:fill="auto"/>
            <w:vAlign w:val="center"/>
          </w:tcPr>
          <w:p w14:paraId="677C2CDC"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-4.33±0.01</w:t>
            </w:r>
          </w:p>
        </w:tc>
      </w:tr>
      <w:tr w:rsidR="00571545" w:rsidRPr="00571545" w14:paraId="01591226" w14:textId="77777777" w:rsidTr="00571545">
        <w:trPr>
          <w:trHeight w:val="227"/>
          <w:jc w:val="center"/>
        </w:trPr>
        <w:tc>
          <w:tcPr>
            <w:tcW w:w="4038" w:type="dxa"/>
            <w:tcBorders>
              <w:top w:val="nil"/>
            </w:tcBorders>
            <w:shd w:val="clear" w:color="auto" w:fill="auto"/>
            <w:noWrap/>
            <w:vAlign w:val="center"/>
            <w:hideMark/>
          </w:tcPr>
          <w:p w14:paraId="0B9E232F"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4-Amino-2-nitrophenol</w:t>
            </w:r>
          </w:p>
        </w:tc>
        <w:tc>
          <w:tcPr>
            <w:tcW w:w="1375" w:type="dxa"/>
            <w:tcBorders>
              <w:top w:val="nil"/>
              <w:right w:val="nil"/>
            </w:tcBorders>
          </w:tcPr>
          <w:p w14:paraId="4CB87AA5"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-5.91</w:t>
            </w:r>
          </w:p>
        </w:tc>
        <w:tc>
          <w:tcPr>
            <w:tcW w:w="1559" w:type="dxa"/>
            <w:tcBorders>
              <w:top w:val="nil"/>
              <w:left w:val="nil"/>
            </w:tcBorders>
            <w:shd w:val="clear" w:color="auto" w:fill="auto"/>
            <w:vAlign w:val="center"/>
          </w:tcPr>
          <w:p w14:paraId="5C45EB1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-4.59±0.02</w:t>
            </w:r>
          </w:p>
        </w:tc>
      </w:tr>
      <w:tr w:rsidR="00571545" w:rsidRPr="00571545" w14:paraId="2AD4E9CF" w14:textId="77777777" w:rsidTr="00571545">
        <w:trPr>
          <w:trHeight w:val="227"/>
          <w:jc w:val="center"/>
        </w:trPr>
        <w:tc>
          <w:tcPr>
            <w:tcW w:w="4038" w:type="dxa"/>
            <w:tcBorders>
              <w:top w:val="nil"/>
            </w:tcBorders>
            <w:shd w:val="clear" w:color="auto" w:fill="auto"/>
            <w:noWrap/>
            <w:vAlign w:val="center"/>
            <w:hideMark/>
          </w:tcPr>
          <w:p w14:paraId="5119FD24"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4-Chlorophenol</w:t>
            </w:r>
          </w:p>
        </w:tc>
        <w:tc>
          <w:tcPr>
            <w:tcW w:w="1375" w:type="dxa"/>
            <w:tcBorders>
              <w:top w:val="nil"/>
              <w:right w:val="nil"/>
            </w:tcBorders>
          </w:tcPr>
          <w:p w14:paraId="6D1136E7"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-4.52</w:t>
            </w:r>
          </w:p>
        </w:tc>
        <w:tc>
          <w:tcPr>
            <w:tcW w:w="1559" w:type="dxa"/>
            <w:tcBorders>
              <w:top w:val="nil"/>
              <w:left w:val="nil"/>
            </w:tcBorders>
            <w:shd w:val="clear" w:color="auto" w:fill="auto"/>
            <w:vAlign w:val="center"/>
          </w:tcPr>
          <w:p w14:paraId="487425A4" w14:textId="77777777" w:rsidR="00571545" w:rsidRPr="00571545" w:rsidRDefault="00571545" w:rsidP="00571545">
            <w:pPr>
              <w:spacing w:line="240" w:lineRule="auto"/>
              <w:jc w:val="center"/>
              <w:rPr>
                <w:rFonts w:cs="Calibri"/>
                <w:color w:val="auto"/>
                <w:sz w:val="18"/>
                <w:szCs w:val="18"/>
                <w:u w:val="double"/>
                <w:lang w:val="es-ES" w:eastAsia="es-ES"/>
              </w:rPr>
            </w:pPr>
            <w:r w:rsidRPr="00571545">
              <w:rPr>
                <w:rFonts w:cs="Calibri"/>
                <w:color w:val="auto"/>
                <w:sz w:val="18"/>
                <w:szCs w:val="18"/>
                <w:lang w:val="es-ES" w:eastAsia="es-ES"/>
              </w:rPr>
              <w:t>-4.270.02±</w:t>
            </w:r>
          </w:p>
        </w:tc>
      </w:tr>
      <w:tr w:rsidR="00571545" w:rsidRPr="00571545" w14:paraId="37FAD124" w14:textId="77777777" w:rsidTr="00571545">
        <w:trPr>
          <w:trHeight w:val="227"/>
          <w:jc w:val="center"/>
        </w:trPr>
        <w:tc>
          <w:tcPr>
            <w:tcW w:w="4038" w:type="dxa"/>
            <w:tcBorders>
              <w:top w:val="nil"/>
            </w:tcBorders>
            <w:shd w:val="clear" w:color="auto" w:fill="auto"/>
            <w:noWrap/>
            <w:vAlign w:val="center"/>
            <w:hideMark/>
          </w:tcPr>
          <w:p w14:paraId="451A6CE3"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4-Ethylphenol</w:t>
            </w:r>
          </w:p>
        </w:tc>
        <w:tc>
          <w:tcPr>
            <w:tcW w:w="1375" w:type="dxa"/>
            <w:tcBorders>
              <w:top w:val="nil"/>
              <w:right w:val="nil"/>
            </w:tcBorders>
          </w:tcPr>
          <w:p w14:paraId="21D00D45"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-4.53</w:t>
            </w:r>
          </w:p>
        </w:tc>
        <w:tc>
          <w:tcPr>
            <w:tcW w:w="1559" w:type="dxa"/>
            <w:tcBorders>
              <w:top w:val="nil"/>
              <w:left w:val="nil"/>
            </w:tcBorders>
            <w:shd w:val="clear" w:color="auto" w:fill="auto"/>
            <w:vAlign w:val="center"/>
          </w:tcPr>
          <w:p w14:paraId="4599CA83"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-4.19±0.02</w:t>
            </w:r>
          </w:p>
        </w:tc>
      </w:tr>
      <w:tr w:rsidR="00571545" w:rsidRPr="00571545" w14:paraId="38F05EFD" w14:textId="77777777" w:rsidTr="00571545">
        <w:trPr>
          <w:trHeight w:val="227"/>
          <w:jc w:val="center"/>
        </w:trPr>
        <w:tc>
          <w:tcPr>
            <w:tcW w:w="4038" w:type="dxa"/>
            <w:tcBorders>
              <w:top w:val="nil"/>
            </w:tcBorders>
            <w:shd w:val="clear" w:color="auto" w:fill="auto"/>
            <w:noWrap/>
            <w:vAlign w:val="center"/>
            <w:hideMark/>
          </w:tcPr>
          <w:p w14:paraId="2C362BD8"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4-Hydroxyphenylacetamide</w:t>
            </w:r>
          </w:p>
        </w:tc>
        <w:tc>
          <w:tcPr>
            <w:tcW w:w="1375" w:type="dxa"/>
            <w:tcBorders>
              <w:top w:val="nil"/>
              <w:right w:val="nil"/>
            </w:tcBorders>
          </w:tcPr>
          <w:p w14:paraId="353CC82C"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-6.89</w:t>
            </w:r>
          </w:p>
        </w:tc>
        <w:tc>
          <w:tcPr>
            <w:tcW w:w="1559" w:type="dxa"/>
            <w:tcBorders>
              <w:top w:val="nil"/>
              <w:left w:val="nil"/>
            </w:tcBorders>
            <w:shd w:val="clear" w:color="auto" w:fill="auto"/>
            <w:vAlign w:val="center"/>
          </w:tcPr>
          <w:p w14:paraId="77D81D7E"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-6.07±0.08</w:t>
            </w:r>
          </w:p>
        </w:tc>
      </w:tr>
      <w:tr w:rsidR="00571545" w:rsidRPr="00571545" w14:paraId="02ABEFF8" w14:textId="77777777" w:rsidTr="00571545">
        <w:trPr>
          <w:trHeight w:val="227"/>
          <w:jc w:val="center"/>
        </w:trPr>
        <w:tc>
          <w:tcPr>
            <w:tcW w:w="4038" w:type="dxa"/>
            <w:tcBorders>
              <w:top w:val="nil"/>
            </w:tcBorders>
            <w:shd w:val="clear" w:color="auto" w:fill="auto"/>
            <w:noWrap/>
            <w:vAlign w:val="center"/>
            <w:hideMark/>
          </w:tcPr>
          <w:p w14:paraId="7878DF42"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4-Hydroxy-methylphenylacetate</w:t>
            </w:r>
          </w:p>
        </w:tc>
        <w:tc>
          <w:tcPr>
            <w:tcW w:w="1375" w:type="dxa"/>
            <w:tcBorders>
              <w:top w:val="nil"/>
              <w:right w:val="nil"/>
            </w:tcBorders>
          </w:tcPr>
          <w:p w14:paraId="5019CE87"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-5.26</w:t>
            </w:r>
          </w:p>
        </w:tc>
        <w:tc>
          <w:tcPr>
            <w:tcW w:w="1559" w:type="dxa"/>
            <w:tcBorders>
              <w:top w:val="nil"/>
              <w:left w:val="nil"/>
            </w:tcBorders>
            <w:shd w:val="clear" w:color="auto" w:fill="auto"/>
            <w:vAlign w:val="center"/>
          </w:tcPr>
          <w:p w14:paraId="0914EBEF"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-5.07±0.09</w:t>
            </w:r>
          </w:p>
        </w:tc>
      </w:tr>
      <w:tr w:rsidR="00571545" w:rsidRPr="00571545" w14:paraId="22DD8138" w14:textId="77777777" w:rsidTr="00571545">
        <w:trPr>
          <w:trHeight w:val="227"/>
          <w:jc w:val="center"/>
        </w:trPr>
        <w:tc>
          <w:tcPr>
            <w:tcW w:w="4038" w:type="dxa"/>
            <w:tcBorders>
              <w:top w:val="nil"/>
            </w:tcBorders>
            <w:shd w:val="clear" w:color="auto" w:fill="auto"/>
            <w:noWrap/>
            <w:vAlign w:val="center"/>
            <w:hideMark/>
          </w:tcPr>
          <w:p w14:paraId="19219CCB"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4-Nitrophenol</w:t>
            </w:r>
          </w:p>
        </w:tc>
        <w:tc>
          <w:tcPr>
            <w:tcW w:w="1375" w:type="dxa"/>
            <w:tcBorders>
              <w:top w:val="nil"/>
              <w:right w:val="nil"/>
            </w:tcBorders>
          </w:tcPr>
          <w:p w14:paraId="3988C4DB"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-5.33</w:t>
            </w:r>
          </w:p>
        </w:tc>
        <w:tc>
          <w:tcPr>
            <w:tcW w:w="1559" w:type="dxa"/>
            <w:tcBorders>
              <w:top w:val="nil"/>
              <w:left w:val="nil"/>
            </w:tcBorders>
            <w:shd w:val="clear" w:color="auto" w:fill="auto"/>
            <w:vAlign w:val="center"/>
          </w:tcPr>
          <w:p w14:paraId="4EF4DD60"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-4.91±0.02</w:t>
            </w:r>
          </w:p>
        </w:tc>
      </w:tr>
      <w:tr w:rsidR="00571545" w:rsidRPr="00571545" w14:paraId="64A89FF5" w14:textId="77777777" w:rsidTr="00571545">
        <w:trPr>
          <w:trHeight w:val="227"/>
          <w:jc w:val="center"/>
        </w:trPr>
        <w:tc>
          <w:tcPr>
            <w:tcW w:w="4038" w:type="dxa"/>
            <w:tcBorders>
              <w:top w:val="nil"/>
            </w:tcBorders>
            <w:shd w:val="clear" w:color="auto" w:fill="auto"/>
            <w:noWrap/>
            <w:vAlign w:val="center"/>
            <w:hideMark/>
          </w:tcPr>
          <w:p w14:paraId="26B316EA"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5-Fluorouracil</w:t>
            </w:r>
          </w:p>
        </w:tc>
        <w:tc>
          <w:tcPr>
            <w:tcW w:w="1375" w:type="dxa"/>
            <w:tcBorders>
              <w:top w:val="nil"/>
              <w:right w:val="nil"/>
            </w:tcBorders>
          </w:tcPr>
          <w:p w14:paraId="3F82D31E"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-6.82</w:t>
            </w:r>
          </w:p>
        </w:tc>
        <w:tc>
          <w:tcPr>
            <w:tcW w:w="1559" w:type="dxa"/>
            <w:tcBorders>
              <w:top w:val="nil"/>
              <w:left w:val="nil"/>
            </w:tcBorders>
            <w:shd w:val="clear" w:color="auto" w:fill="auto"/>
            <w:vAlign w:val="center"/>
          </w:tcPr>
          <w:p w14:paraId="18EA0403"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-5.77±0.02</w:t>
            </w:r>
          </w:p>
        </w:tc>
      </w:tr>
      <w:tr w:rsidR="00571545" w:rsidRPr="00571545" w14:paraId="340768A6" w14:textId="77777777" w:rsidTr="00571545">
        <w:trPr>
          <w:trHeight w:val="227"/>
          <w:jc w:val="center"/>
        </w:trPr>
        <w:tc>
          <w:tcPr>
            <w:tcW w:w="4038" w:type="dxa"/>
            <w:tcBorders>
              <w:top w:val="nil"/>
            </w:tcBorders>
            <w:shd w:val="clear" w:color="auto" w:fill="auto"/>
            <w:noWrap/>
            <w:vAlign w:val="center"/>
            <w:hideMark/>
          </w:tcPr>
          <w:p w14:paraId="340D750A"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8-Methoxypsoralen</w:t>
            </w:r>
          </w:p>
        </w:tc>
        <w:tc>
          <w:tcPr>
            <w:tcW w:w="1375" w:type="dxa"/>
            <w:tcBorders>
              <w:top w:val="nil"/>
              <w:right w:val="nil"/>
            </w:tcBorders>
          </w:tcPr>
          <w:p w14:paraId="034FBDDA"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-5.12</w:t>
            </w:r>
          </w:p>
        </w:tc>
        <w:tc>
          <w:tcPr>
            <w:tcW w:w="1559" w:type="dxa"/>
            <w:tcBorders>
              <w:top w:val="nil"/>
              <w:left w:val="nil"/>
            </w:tcBorders>
            <w:shd w:val="clear" w:color="auto" w:fill="auto"/>
            <w:vAlign w:val="center"/>
          </w:tcPr>
          <w:p w14:paraId="2533170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-4.30±0.03</w:t>
            </w:r>
          </w:p>
        </w:tc>
      </w:tr>
      <w:tr w:rsidR="00571545" w:rsidRPr="00571545" w14:paraId="188C2163" w14:textId="77777777" w:rsidTr="00571545">
        <w:trPr>
          <w:trHeight w:val="227"/>
          <w:jc w:val="center"/>
        </w:trPr>
        <w:tc>
          <w:tcPr>
            <w:tcW w:w="4038" w:type="dxa"/>
            <w:tcBorders>
              <w:top w:val="nil"/>
            </w:tcBorders>
            <w:shd w:val="clear" w:color="auto" w:fill="auto"/>
            <w:noWrap/>
            <w:vAlign w:val="center"/>
            <w:hideMark/>
          </w:tcPr>
          <w:p w14:paraId="1B467183"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 xml:space="preserve">5,5-Diethylbarbituric </w:t>
            </w:r>
            <w:proofErr w:type="spellStart"/>
            <w:r w:rsidRPr="00571545">
              <w:rPr>
                <w:rFonts w:cs="Arial"/>
                <w:color w:val="auto"/>
                <w:sz w:val="18"/>
                <w:szCs w:val="18"/>
                <w:lang w:val="es-ES" w:eastAsia="es-ES"/>
              </w:rPr>
              <w:t>acid</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Barbital</w:t>
            </w:r>
            <w:proofErr w:type="spellEnd"/>
            <w:r w:rsidRPr="00571545">
              <w:rPr>
                <w:rFonts w:cs="Arial"/>
                <w:color w:val="auto"/>
                <w:sz w:val="18"/>
                <w:szCs w:val="18"/>
                <w:lang w:val="es-ES" w:eastAsia="es-ES"/>
              </w:rPr>
              <w:t>)</w:t>
            </w:r>
          </w:p>
        </w:tc>
        <w:tc>
          <w:tcPr>
            <w:tcW w:w="1375" w:type="dxa"/>
            <w:tcBorders>
              <w:top w:val="nil"/>
              <w:right w:val="nil"/>
            </w:tcBorders>
          </w:tcPr>
          <w:p w14:paraId="787D73D2"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-7.29</w:t>
            </w:r>
          </w:p>
        </w:tc>
        <w:tc>
          <w:tcPr>
            <w:tcW w:w="1559" w:type="dxa"/>
            <w:tcBorders>
              <w:top w:val="nil"/>
              <w:left w:val="nil"/>
            </w:tcBorders>
            <w:shd w:val="clear" w:color="auto" w:fill="auto"/>
            <w:vAlign w:val="center"/>
          </w:tcPr>
          <w:p w14:paraId="7FD13932"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-5.75±0.05</w:t>
            </w:r>
          </w:p>
        </w:tc>
      </w:tr>
      <w:tr w:rsidR="00571545" w:rsidRPr="00571545" w14:paraId="4AB77815" w14:textId="77777777" w:rsidTr="00571545">
        <w:trPr>
          <w:trHeight w:val="227"/>
          <w:jc w:val="center"/>
        </w:trPr>
        <w:tc>
          <w:tcPr>
            <w:tcW w:w="4038" w:type="dxa"/>
            <w:tcBorders>
              <w:top w:val="nil"/>
            </w:tcBorders>
            <w:shd w:val="clear" w:color="auto" w:fill="auto"/>
            <w:noWrap/>
            <w:vAlign w:val="center"/>
            <w:hideMark/>
          </w:tcPr>
          <w:p w14:paraId="52E98DEF"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 xml:space="preserve">5-Ethyl-5-phenylbarbituric </w:t>
            </w:r>
            <w:proofErr w:type="spellStart"/>
            <w:r w:rsidRPr="00571545">
              <w:rPr>
                <w:rFonts w:cs="Arial"/>
                <w:color w:val="auto"/>
                <w:sz w:val="18"/>
                <w:szCs w:val="18"/>
                <w:lang w:val="es-ES" w:eastAsia="es-ES"/>
              </w:rPr>
              <w:t>acid</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Phenobarbital</w:t>
            </w:r>
            <w:proofErr w:type="spellEnd"/>
            <w:r w:rsidRPr="00571545">
              <w:rPr>
                <w:rFonts w:cs="Arial"/>
                <w:color w:val="auto"/>
                <w:sz w:val="18"/>
                <w:szCs w:val="18"/>
                <w:lang w:val="es-ES" w:eastAsia="es-ES"/>
              </w:rPr>
              <w:t>)</w:t>
            </w:r>
          </w:p>
        </w:tc>
        <w:tc>
          <w:tcPr>
            <w:tcW w:w="1375" w:type="dxa"/>
            <w:tcBorders>
              <w:top w:val="nil"/>
              <w:right w:val="nil"/>
            </w:tcBorders>
          </w:tcPr>
          <w:p w14:paraId="64F6E1CA"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-6.68</w:t>
            </w:r>
          </w:p>
        </w:tc>
        <w:tc>
          <w:tcPr>
            <w:tcW w:w="1559" w:type="dxa"/>
            <w:tcBorders>
              <w:top w:val="nil"/>
              <w:left w:val="nil"/>
            </w:tcBorders>
            <w:shd w:val="clear" w:color="auto" w:fill="auto"/>
            <w:vAlign w:val="center"/>
          </w:tcPr>
          <w:p w14:paraId="6E40E5A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-6.05±0.01</w:t>
            </w:r>
          </w:p>
        </w:tc>
      </w:tr>
      <w:tr w:rsidR="00571545" w:rsidRPr="00571545" w14:paraId="5B34A00F" w14:textId="77777777" w:rsidTr="00571545">
        <w:trPr>
          <w:trHeight w:val="227"/>
          <w:jc w:val="center"/>
        </w:trPr>
        <w:tc>
          <w:tcPr>
            <w:tcW w:w="4038" w:type="dxa"/>
            <w:tcBorders>
              <w:top w:val="nil"/>
            </w:tcBorders>
            <w:shd w:val="clear" w:color="auto" w:fill="auto"/>
            <w:noWrap/>
            <w:vAlign w:val="center"/>
            <w:hideMark/>
          </w:tcPr>
          <w:p w14:paraId="7B86A8D9"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Benzoic</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acid</w:t>
            </w:r>
            <w:proofErr w:type="spellEnd"/>
          </w:p>
        </w:tc>
        <w:tc>
          <w:tcPr>
            <w:tcW w:w="1375" w:type="dxa"/>
            <w:tcBorders>
              <w:top w:val="nil"/>
              <w:right w:val="nil"/>
            </w:tcBorders>
          </w:tcPr>
          <w:p w14:paraId="78088A42"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-5.68</w:t>
            </w:r>
          </w:p>
        </w:tc>
        <w:tc>
          <w:tcPr>
            <w:tcW w:w="1559" w:type="dxa"/>
            <w:tcBorders>
              <w:top w:val="nil"/>
              <w:left w:val="nil"/>
            </w:tcBorders>
            <w:shd w:val="clear" w:color="auto" w:fill="auto"/>
            <w:vAlign w:val="center"/>
          </w:tcPr>
          <w:p w14:paraId="7AAD08B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-4.82±0.07</w:t>
            </w:r>
          </w:p>
        </w:tc>
      </w:tr>
      <w:tr w:rsidR="00571545" w:rsidRPr="00571545" w14:paraId="08DA7FFC" w14:textId="77777777" w:rsidTr="00571545">
        <w:trPr>
          <w:trHeight w:val="227"/>
          <w:jc w:val="center"/>
        </w:trPr>
        <w:tc>
          <w:tcPr>
            <w:tcW w:w="4038" w:type="dxa"/>
            <w:tcBorders>
              <w:top w:val="nil"/>
            </w:tcBorders>
            <w:shd w:val="clear" w:color="auto" w:fill="auto"/>
            <w:noWrap/>
            <w:vAlign w:val="center"/>
            <w:hideMark/>
          </w:tcPr>
          <w:p w14:paraId="0CED4D39"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4-Hydroxybenzyl alcohol</w:t>
            </w:r>
          </w:p>
        </w:tc>
        <w:tc>
          <w:tcPr>
            <w:tcW w:w="1375" w:type="dxa"/>
            <w:tcBorders>
              <w:top w:val="nil"/>
              <w:right w:val="nil"/>
            </w:tcBorders>
          </w:tcPr>
          <w:p w14:paraId="06B83B28"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-6.26</w:t>
            </w:r>
          </w:p>
        </w:tc>
        <w:tc>
          <w:tcPr>
            <w:tcW w:w="1559" w:type="dxa"/>
            <w:tcBorders>
              <w:top w:val="nil"/>
              <w:left w:val="nil"/>
            </w:tcBorders>
            <w:shd w:val="clear" w:color="auto" w:fill="auto"/>
            <w:vAlign w:val="center"/>
          </w:tcPr>
          <w:p w14:paraId="64C230E4"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-5.85±0.01</w:t>
            </w:r>
          </w:p>
        </w:tc>
      </w:tr>
      <w:tr w:rsidR="00571545" w:rsidRPr="00571545" w14:paraId="1B5D6419" w14:textId="77777777" w:rsidTr="00571545">
        <w:trPr>
          <w:trHeight w:val="227"/>
          <w:jc w:val="center"/>
        </w:trPr>
        <w:tc>
          <w:tcPr>
            <w:tcW w:w="4038" w:type="dxa"/>
            <w:tcBorders>
              <w:top w:val="nil"/>
            </w:tcBorders>
            <w:shd w:val="clear" w:color="auto" w:fill="auto"/>
            <w:noWrap/>
            <w:vAlign w:val="center"/>
            <w:hideMark/>
          </w:tcPr>
          <w:p w14:paraId="416CA244"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Aminopyrine</w:t>
            </w:r>
            <w:proofErr w:type="spellEnd"/>
          </w:p>
        </w:tc>
        <w:tc>
          <w:tcPr>
            <w:tcW w:w="1375" w:type="dxa"/>
            <w:tcBorders>
              <w:top w:val="nil"/>
              <w:right w:val="nil"/>
            </w:tcBorders>
          </w:tcPr>
          <w:p w14:paraId="7F99DB9F"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-6.55</w:t>
            </w:r>
          </w:p>
        </w:tc>
        <w:tc>
          <w:tcPr>
            <w:tcW w:w="1559" w:type="dxa"/>
            <w:tcBorders>
              <w:top w:val="nil"/>
              <w:left w:val="nil"/>
            </w:tcBorders>
            <w:shd w:val="clear" w:color="auto" w:fill="auto"/>
            <w:vAlign w:val="center"/>
          </w:tcPr>
          <w:p w14:paraId="4C8B698F"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-5.67±0.03</w:t>
            </w:r>
          </w:p>
        </w:tc>
      </w:tr>
      <w:tr w:rsidR="00571545" w:rsidRPr="00571545" w14:paraId="7BBDCECE" w14:textId="77777777" w:rsidTr="00571545">
        <w:trPr>
          <w:trHeight w:val="227"/>
          <w:jc w:val="center"/>
        </w:trPr>
        <w:tc>
          <w:tcPr>
            <w:tcW w:w="4038" w:type="dxa"/>
            <w:tcBorders>
              <w:top w:val="nil"/>
            </w:tcBorders>
            <w:shd w:val="clear" w:color="auto" w:fill="auto"/>
            <w:noWrap/>
            <w:vAlign w:val="center"/>
            <w:hideMark/>
          </w:tcPr>
          <w:p w14:paraId="68D5E20E"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Aniline</w:t>
            </w:r>
            <w:proofErr w:type="spellEnd"/>
          </w:p>
        </w:tc>
        <w:tc>
          <w:tcPr>
            <w:tcW w:w="1375" w:type="dxa"/>
            <w:tcBorders>
              <w:top w:val="nil"/>
              <w:right w:val="nil"/>
            </w:tcBorders>
          </w:tcPr>
          <w:p w14:paraId="704E1E28"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-4.94</w:t>
            </w:r>
          </w:p>
        </w:tc>
        <w:tc>
          <w:tcPr>
            <w:tcW w:w="1559" w:type="dxa"/>
            <w:tcBorders>
              <w:top w:val="nil"/>
              <w:left w:val="nil"/>
            </w:tcBorders>
            <w:shd w:val="clear" w:color="auto" w:fill="auto"/>
            <w:vAlign w:val="center"/>
          </w:tcPr>
          <w:p w14:paraId="7FE7D405"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-4.55±0.00</w:t>
            </w:r>
          </w:p>
        </w:tc>
      </w:tr>
      <w:tr w:rsidR="00571545" w:rsidRPr="00571545" w14:paraId="274B3903" w14:textId="77777777" w:rsidTr="00571545">
        <w:trPr>
          <w:trHeight w:val="227"/>
          <w:jc w:val="center"/>
        </w:trPr>
        <w:tc>
          <w:tcPr>
            <w:tcW w:w="4038" w:type="dxa"/>
            <w:tcBorders>
              <w:top w:val="nil"/>
            </w:tcBorders>
            <w:shd w:val="clear" w:color="auto" w:fill="auto"/>
            <w:noWrap/>
            <w:vAlign w:val="center"/>
            <w:hideMark/>
          </w:tcPr>
          <w:p w14:paraId="3BB3B2F1"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Benzyl</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nicotinate</w:t>
            </w:r>
            <w:proofErr w:type="spellEnd"/>
          </w:p>
        </w:tc>
        <w:tc>
          <w:tcPr>
            <w:tcW w:w="1375" w:type="dxa"/>
            <w:tcBorders>
              <w:top w:val="nil"/>
              <w:right w:val="nil"/>
            </w:tcBorders>
          </w:tcPr>
          <w:p w14:paraId="77E495FF"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-4.87</w:t>
            </w:r>
          </w:p>
        </w:tc>
        <w:tc>
          <w:tcPr>
            <w:tcW w:w="1559" w:type="dxa"/>
            <w:tcBorders>
              <w:top w:val="nil"/>
              <w:left w:val="nil"/>
            </w:tcBorders>
            <w:shd w:val="clear" w:color="auto" w:fill="auto"/>
            <w:vAlign w:val="center"/>
          </w:tcPr>
          <w:p w14:paraId="175B5EA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-4.16±0.02</w:t>
            </w:r>
          </w:p>
        </w:tc>
      </w:tr>
      <w:tr w:rsidR="00571545" w:rsidRPr="00571545" w14:paraId="18E9F389" w14:textId="77777777" w:rsidTr="00571545">
        <w:trPr>
          <w:trHeight w:val="227"/>
          <w:jc w:val="center"/>
        </w:trPr>
        <w:tc>
          <w:tcPr>
            <w:tcW w:w="4038" w:type="dxa"/>
            <w:tcBorders>
              <w:top w:val="nil"/>
            </w:tcBorders>
            <w:shd w:val="clear" w:color="auto" w:fill="auto"/>
            <w:noWrap/>
            <w:vAlign w:val="center"/>
            <w:hideMark/>
          </w:tcPr>
          <w:p w14:paraId="0BD6E3BC"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Caffeine</w:t>
            </w:r>
            <w:proofErr w:type="spellEnd"/>
          </w:p>
        </w:tc>
        <w:tc>
          <w:tcPr>
            <w:tcW w:w="1375" w:type="dxa"/>
            <w:tcBorders>
              <w:top w:val="nil"/>
              <w:right w:val="nil"/>
            </w:tcBorders>
          </w:tcPr>
          <w:p w14:paraId="4DEB6D40"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-6.85</w:t>
            </w:r>
          </w:p>
        </w:tc>
        <w:tc>
          <w:tcPr>
            <w:tcW w:w="1559" w:type="dxa"/>
            <w:tcBorders>
              <w:top w:val="nil"/>
              <w:left w:val="nil"/>
            </w:tcBorders>
            <w:shd w:val="clear" w:color="auto" w:fill="auto"/>
            <w:vAlign w:val="center"/>
          </w:tcPr>
          <w:p w14:paraId="5BCB14CD"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-5.45±0.02</w:t>
            </w:r>
          </w:p>
        </w:tc>
      </w:tr>
      <w:tr w:rsidR="00571545" w:rsidRPr="00571545" w14:paraId="177E8FEC" w14:textId="77777777" w:rsidTr="00571545">
        <w:trPr>
          <w:trHeight w:val="227"/>
          <w:jc w:val="center"/>
        </w:trPr>
        <w:tc>
          <w:tcPr>
            <w:tcW w:w="4038" w:type="dxa"/>
            <w:tcBorders>
              <w:top w:val="nil"/>
            </w:tcBorders>
            <w:shd w:val="clear" w:color="auto" w:fill="auto"/>
            <w:noWrap/>
            <w:vAlign w:val="center"/>
            <w:hideMark/>
          </w:tcPr>
          <w:p w14:paraId="62309A4C"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Catechol</w:t>
            </w:r>
            <w:proofErr w:type="spellEnd"/>
          </w:p>
        </w:tc>
        <w:tc>
          <w:tcPr>
            <w:tcW w:w="1375" w:type="dxa"/>
            <w:tcBorders>
              <w:top w:val="nil"/>
              <w:right w:val="nil"/>
            </w:tcBorders>
          </w:tcPr>
          <w:p w14:paraId="7D9C330B"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-5.87</w:t>
            </w:r>
          </w:p>
        </w:tc>
        <w:tc>
          <w:tcPr>
            <w:tcW w:w="1559" w:type="dxa"/>
            <w:tcBorders>
              <w:top w:val="nil"/>
              <w:left w:val="nil"/>
            </w:tcBorders>
            <w:shd w:val="clear" w:color="auto" w:fill="auto"/>
            <w:vAlign w:val="center"/>
          </w:tcPr>
          <w:p w14:paraId="6C5F1A3D"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-5.39±0.00</w:t>
            </w:r>
          </w:p>
        </w:tc>
      </w:tr>
      <w:tr w:rsidR="00571545" w:rsidRPr="00571545" w14:paraId="38907218" w14:textId="77777777" w:rsidTr="00571545">
        <w:trPr>
          <w:trHeight w:val="227"/>
          <w:jc w:val="center"/>
        </w:trPr>
        <w:tc>
          <w:tcPr>
            <w:tcW w:w="4038" w:type="dxa"/>
            <w:tcBorders>
              <w:top w:val="nil"/>
            </w:tcBorders>
            <w:shd w:val="clear" w:color="auto" w:fill="auto"/>
            <w:noWrap/>
            <w:vAlign w:val="center"/>
            <w:hideMark/>
          </w:tcPr>
          <w:p w14:paraId="6D640AA7"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Cortexolone</w:t>
            </w:r>
            <w:proofErr w:type="spellEnd"/>
          </w:p>
        </w:tc>
        <w:tc>
          <w:tcPr>
            <w:tcW w:w="1375" w:type="dxa"/>
            <w:tcBorders>
              <w:top w:val="nil"/>
              <w:right w:val="nil"/>
            </w:tcBorders>
          </w:tcPr>
          <w:p w14:paraId="31F9922B"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-7.20</w:t>
            </w:r>
          </w:p>
        </w:tc>
        <w:tc>
          <w:tcPr>
            <w:tcW w:w="1559" w:type="dxa"/>
            <w:tcBorders>
              <w:top w:val="nil"/>
              <w:left w:val="nil"/>
            </w:tcBorders>
            <w:shd w:val="clear" w:color="auto" w:fill="auto"/>
            <w:vAlign w:val="center"/>
          </w:tcPr>
          <w:p w14:paraId="4E694BDE"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-5.45±0.03</w:t>
            </w:r>
          </w:p>
        </w:tc>
      </w:tr>
      <w:tr w:rsidR="00571545" w:rsidRPr="00571545" w14:paraId="28B5474D" w14:textId="77777777" w:rsidTr="00571545">
        <w:trPr>
          <w:trHeight w:val="227"/>
          <w:jc w:val="center"/>
        </w:trPr>
        <w:tc>
          <w:tcPr>
            <w:tcW w:w="4038" w:type="dxa"/>
            <w:tcBorders>
              <w:top w:val="nil"/>
            </w:tcBorders>
            <w:shd w:val="clear" w:color="auto" w:fill="auto"/>
            <w:noWrap/>
            <w:vAlign w:val="center"/>
            <w:hideMark/>
          </w:tcPr>
          <w:p w14:paraId="1875D285"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Corticosterone</w:t>
            </w:r>
            <w:proofErr w:type="spellEnd"/>
          </w:p>
        </w:tc>
        <w:tc>
          <w:tcPr>
            <w:tcW w:w="1375" w:type="dxa"/>
            <w:tcBorders>
              <w:top w:val="nil"/>
              <w:right w:val="nil"/>
            </w:tcBorders>
          </w:tcPr>
          <w:p w14:paraId="7B19FCF3"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-6.84</w:t>
            </w:r>
          </w:p>
        </w:tc>
        <w:tc>
          <w:tcPr>
            <w:tcW w:w="1559" w:type="dxa"/>
            <w:tcBorders>
              <w:top w:val="nil"/>
              <w:left w:val="nil"/>
            </w:tcBorders>
            <w:shd w:val="clear" w:color="auto" w:fill="auto"/>
            <w:vAlign w:val="center"/>
          </w:tcPr>
          <w:p w14:paraId="2F09DECE"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-5.59±0.01</w:t>
            </w:r>
          </w:p>
        </w:tc>
      </w:tr>
      <w:tr w:rsidR="00571545" w:rsidRPr="00571545" w14:paraId="2597B9D0" w14:textId="77777777" w:rsidTr="00571545">
        <w:trPr>
          <w:trHeight w:val="227"/>
          <w:jc w:val="center"/>
        </w:trPr>
        <w:tc>
          <w:tcPr>
            <w:tcW w:w="4038" w:type="dxa"/>
            <w:tcBorders>
              <w:top w:val="nil"/>
            </w:tcBorders>
            <w:shd w:val="clear" w:color="auto" w:fill="auto"/>
            <w:noWrap/>
            <w:vAlign w:val="center"/>
            <w:hideMark/>
          </w:tcPr>
          <w:p w14:paraId="4D7D0CDE"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Cortisone</w:t>
            </w:r>
            <w:proofErr w:type="spellEnd"/>
          </w:p>
        </w:tc>
        <w:tc>
          <w:tcPr>
            <w:tcW w:w="1375" w:type="dxa"/>
            <w:tcBorders>
              <w:top w:val="nil"/>
              <w:right w:val="nil"/>
            </w:tcBorders>
          </w:tcPr>
          <w:p w14:paraId="51638DD1"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-7.38</w:t>
            </w:r>
          </w:p>
        </w:tc>
        <w:tc>
          <w:tcPr>
            <w:tcW w:w="1559" w:type="dxa"/>
            <w:tcBorders>
              <w:top w:val="nil"/>
              <w:left w:val="nil"/>
            </w:tcBorders>
            <w:shd w:val="clear" w:color="auto" w:fill="auto"/>
            <w:vAlign w:val="center"/>
          </w:tcPr>
          <w:p w14:paraId="73447DB7"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-6.09±0.02</w:t>
            </w:r>
          </w:p>
        </w:tc>
      </w:tr>
      <w:tr w:rsidR="00571545" w:rsidRPr="00571545" w14:paraId="3F368681" w14:textId="77777777" w:rsidTr="00571545">
        <w:trPr>
          <w:trHeight w:val="227"/>
          <w:jc w:val="center"/>
        </w:trPr>
        <w:tc>
          <w:tcPr>
            <w:tcW w:w="4038" w:type="dxa"/>
            <w:tcBorders>
              <w:top w:val="nil"/>
            </w:tcBorders>
            <w:shd w:val="clear" w:color="auto" w:fill="auto"/>
            <w:noWrap/>
            <w:vAlign w:val="center"/>
            <w:hideMark/>
          </w:tcPr>
          <w:p w14:paraId="48C01C6E"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Dexamethasone</w:t>
            </w:r>
            <w:proofErr w:type="spellEnd"/>
          </w:p>
        </w:tc>
        <w:tc>
          <w:tcPr>
            <w:tcW w:w="1375" w:type="dxa"/>
            <w:tcBorders>
              <w:top w:val="nil"/>
              <w:right w:val="nil"/>
            </w:tcBorders>
          </w:tcPr>
          <w:p w14:paraId="0D0F86D3"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-7.27</w:t>
            </w:r>
          </w:p>
        </w:tc>
        <w:tc>
          <w:tcPr>
            <w:tcW w:w="1559" w:type="dxa"/>
            <w:tcBorders>
              <w:top w:val="nil"/>
              <w:left w:val="nil"/>
            </w:tcBorders>
            <w:shd w:val="clear" w:color="auto" w:fill="auto"/>
            <w:vAlign w:val="center"/>
          </w:tcPr>
          <w:p w14:paraId="27B3FE7B"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-6.25±0.03</w:t>
            </w:r>
          </w:p>
        </w:tc>
      </w:tr>
      <w:tr w:rsidR="00571545" w:rsidRPr="00571545" w14:paraId="0DBC8F9E" w14:textId="77777777" w:rsidTr="00571545">
        <w:trPr>
          <w:trHeight w:val="227"/>
          <w:jc w:val="center"/>
        </w:trPr>
        <w:tc>
          <w:tcPr>
            <w:tcW w:w="4038" w:type="dxa"/>
            <w:tcBorders>
              <w:top w:val="nil"/>
            </w:tcBorders>
            <w:shd w:val="clear" w:color="auto" w:fill="auto"/>
            <w:noWrap/>
            <w:vAlign w:val="center"/>
            <w:hideMark/>
          </w:tcPr>
          <w:p w14:paraId="29D2EA31"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Diclofenac</w:t>
            </w:r>
            <w:proofErr w:type="spellEnd"/>
          </w:p>
        </w:tc>
        <w:tc>
          <w:tcPr>
            <w:tcW w:w="1375" w:type="dxa"/>
            <w:tcBorders>
              <w:top w:val="nil"/>
              <w:right w:val="nil"/>
            </w:tcBorders>
          </w:tcPr>
          <w:p w14:paraId="1B6F1FC9"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-5.30</w:t>
            </w:r>
          </w:p>
        </w:tc>
        <w:tc>
          <w:tcPr>
            <w:tcW w:w="1559" w:type="dxa"/>
            <w:tcBorders>
              <w:top w:val="nil"/>
              <w:left w:val="nil"/>
            </w:tcBorders>
            <w:shd w:val="clear" w:color="auto" w:fill="auto"/>
            <w:vAlign w:val="center"/>
          </w:tcPr>
          <w:p w14:paraId="11232E86"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-3.79±0.02</w:t>
            </w:r>
          </w:p>
        </w:tc>
      </w:tr>
      <w:tr w:rsidR="00571545" w:rsidRPr="00571545" w14:paraId="4F5D6A54" w14:textId="77777777" w:rsidTr="00571545">
        <w:trPr>
          <w:trHeight w:val="227"/>
          <w:jc w:val="center"/>
        </w:trPr>
        <w:tc>
          <w:tcPr>
            <w:tcW w:w="4038" w:type="dxa"/>
            <w:tcBorders>
              <w:top w:val="nil"/>
            </w:tcBorders>
            <w:shd w:val="clear" w:color="auto" w:fill="auto"/>
            <w:noWrap/>
            <w:vAlign w:val="center"/>
            <w:hideMark/>
          </w:tcPr>
          <w:p w14:paraId="15DE5813"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Digitoxin</w:t>
            </w:r>
            <w:proofErr w:type="spellEnd"/>
          </w:p>
        </w:tc>
        <w:tc>
          <w:tcPr>
            <w:tcW w:w="1375" w:type="dxa"/>
            <w:tcBorders>
              <w:top w:val="nil"/>
              <w:right w:val="nil"/>
            </w:tcBorders>
          </w:tcPr>
          <w:p w14:paraId="0DE582CF"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-8.15</w:t>
            </w:r>
          </w:p>
        </w:tc>
        <w:tc>
          <w:tcPr>
            <w:tcW w:w="1559" w:type="dxa"/>
            <w:tcBorders>
              <w:top w:val="nil"/>
              <w:left w:val="nil"/>
            </w:tcBorders>
            <w:shd w:val="clear" w:color="auto" w:fill="auto"/>
            <w:vAlign w:val="center"/>
          </w:tcPr>
          <w:p w14:paraId="38D7F1A0"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-6.38±0.15</w:t>
            </w:r>
          </w:p>
        </w:tc>
      </w:tr>
      <w:tr w:rsidR="00571545" w:rsidRPr="00571545" w14:paraId="7C7D0279" w14:textId="77777777" w:rsidTr="00571545">
        <w:trPr>
          <w:trHeight w:val="227"/>
          <w:jc w:val="center"/>
        </w:trPr>
        <w:tc>
          <w:tcPr>
            <w:tcW w:w="4038" w:type="dxa"/>
            <w:tcBorders>
              <w:top w:val="nil"/>
            </w:tcBorders>
            <w:shd w:val="clear" w:color="auto" w:fill="auto"/>
            <w:noWrap/>
            <w:vAlign w:val="center"/>
            <w:hideMark/>
          </w:tcPr>
          <w:p w14:paraId="4DC5053C"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Estradiol</w:t>
            </w:r>
          </w:p>
        </w:tc>
        <w:tc>
          <w:tcPr>
            <w:tcW w:w="1375" w:type="dxa"/>
            <w:tcBorders>
              <w:top w:val="nil"/>
              <w:right w:val="nil"/>
            </w:tcBorders>
          </w:tcPr>
          <w:p w14:paraId="1A66BE25"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-5.61</w:t>
            </w:r>
          </w:p>
        </w:tc>
        <w:tc>
          <w:tcPr>
            <w:tcW w:w="1559" w:type="dxa"/>
            <w:tcBorders>
              <w:top w:val="nil"/>
              <w:left w:val="nil"/>
            </w:tcBorders>
            <w:shd w:val="clear" w:color="auto" w:fill="auto"/>
            <w:vAlign w:val="center"/>
          </w:tcPr>
          <w:p w14:paraId="729941C4"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-4.15±0.07</w:t>
            </w:r>
          </w:p>
        </w:tc>
      </w:tr>
      <w:tr w:rsidR="00571545" w:rsidRPr="00571545" w14:paraId="1416C663" w14:textId="77777777" w:rsidTr="00571545">
        <w:trPr>
          <w:trHeight w:val="227"/>
          <w:jc w:val="center"/>
        </w:trPr>
        <w:tc>
          <w:tcPr>
            <w:tcW w:w="4038" w:type="dxa"/>
            <w:tcBorders>
              <w:top w:val="nil"/>
            </w:tcBorders>
            <w:shd w:val="clear" w:color="auto" w:fill="auto"/>
            <w:noWrap/>
            <w:vAlign w:val="center"/>
            <w:hideMark/>
          </w:tcPr>
          <w:p w14:paraId="62D4C8FA"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Fluocinonide</w:t>
            </w:r>
            <w:proofErr w:type="spellEnd"/>
          </w:p>
        </w:tc>
        <w:tc>
          <w:tcPr>
            <w:tcW w:w="1375" w:type="dxa"/>
            <w:tcBorders>
              <w:top w:val="nil"/>
              <w:right w:val="nil"/>
            </w:tcBorders>
          </w:tcPr>
          <w:p w14:paraId="182F03C0"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-6.33</w:t>
            </w:r>
          </w:p>
        </w:tc>
        <w:tc>
          <w:tcPr>
            <w:tcW w:w="1559" w:type="dxa"/>
            <w:tcBorders>
              <w:top w:val="nil"/>
              <w:left w:val="nil"/>
            </w:tcBorders>
            <w:shd w:val="clear" w:color="auto" w:fill="auto"/>
            <w:vAlign w:val="center"/>
          </w:tcPr>
          <w:p w14:paraId="5EAFA9ED"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-5.38±0.06</w:t>
            </w:r>
          </w:p>
        </w:tc>
      </w:tr>
      <w:tr w:rsidR="00571545" w:rsidRPr="00571545" w14:paraId="363EB79C" w14:textId="77777777" w:rsidTr="00571545">
        <w:trPr>
          <w:trHeight w:val="227"/>
          <w:jc w:val="center"/>
        </w:trPr>
        <w:tc>
          <w:tcPr>
            <w:tcW w:w="4038" w:type="dxa"/>
            <w:tcBorders>
              <w:top w:val="nil"/>
            </w:tcBorders>
            <w:shd w:val="clear" w:color="auto" w:fill="auto"/>
            <w:noWrap/>
            <w:vAlign w:val="center"/>
            <w:hideMark/>
          </w:tcPr>
          <w:p w14:paraId="48C57CE9"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Flurbiprofen</w:t>
            </w:r>
            <w:proofErr w:type="spellEnd"/>
          </w:p>
        </w:tc>
        <w:tc>
          <w:tcPr>
            <w:tcW w:w="1375" w:type="dxa"/>
            <w:tcBorders>
              <w:top w:val="nil"/>
              <w:right w:val="nil"/>
            </w:tcBorders>
          </w:tcPr>
          <w:p w14:paraId="5B55D248"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-4.72</w:t>
            </w:r>
          </w:p>
        </w:tc>
        <w:tc>
          <w:tcPr>
            <w:tcW w:w="1559" w:type="dxa"/>
            <w:tcBorders>
              <w:top w:val="nil"/>
              <w:left w:val="nil"/>
            </w:tcBorders>
            <w:shd w:val="clear" w:color="auto" w:fill="auto"/>
            <w:vAlign w:val="center"/>
          </w:tcPr>
          <w:p w14:paraId="0670F39E"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-3.69±0.01</w:t>
            </w:r>
          </w:p>
        </w:tc>
      </w:tr>
      <w:tr w:rsidR="00571545" w:rsidRPr="00571545" w14:paraId="7AF7280F" w14:textId="77777777" w:rsidTr="00571545">
        <w:trPr>
          <w:trHeight w:val="227"/>
          <w:jc w:val="center"/>
        </w:trPr>
        <w:tc>
          <w:tcPr>
            <w:tcW w:w="4038" w:type="dxa"/>
            <w:tcBorders>
              <w:top w:val="nil"/>
            </w:tcBorders>
            <w:shd w:val="clear" w:color="auto" w:fill="auto"/>
            <w:noWrap/>
            <w:vAlign w:val="center"/>
            <w:hideMark/>
          </w:tcPr>
          <w:p w14:paraId="1F16B2E4"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Griseofulvin</w:t>
            </w:r>
            <w:proofErr w:type="spellEnd"/>
          </w:p>
        </w:tc>
        <w:tc>
          <w:tcPr>
            <w:tcW w:w="1375" w:type="dxa"/>
            <w:tcBorders>
              <w:top w:val="nil"/>
              <w:right w:val="nil"/>
            </w:tcBorders>
          </w:tcPr>
          <w:p w14:paraId="44D998CA"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-6.44</w:t>
            </w:r>
          </w:p>
        </w:tc>
        <w:tc>
          <w:tcPr>
            <w:tcW w:w="1559" w:type="dxa"/>
            <w:tcBorders>
              <w:top w:val="nil"/>
              <w:left w:val="nil"/>
            </w:tcBorders>
            <w:shd w:val="clear" w:color="auto" w:fill="auto"/>
            <w:vAlign w:val="center"/>
          </w:tcPr>
          <w:p w14:paraId="6AC74D8E"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-5.28±0.06</w:t>
            </w:r>
          </w:p>
        </w:tc>
      </w:tr>
      <w:tr w:rsidR="00571545" w:rsidRPr="00571545" w14:paraId="53C173CE" w14:textId="77777777" w:rsidTr="00571545">
        <w:trPr>
          <w:trHeight w:val="227"/>
          <w:jc w:val="center"/>
        </w:trPr>
        <w:tc>
          <w:tcPr>
            <w:tcW w:w="4038" w:type="dxa"/>
            <w:tcBorders>
              <w:top w:val="nil"/>
            </w:tcBorders>
            <w:shd w:val="clear" w:color="auto" w:fill="auto"/>
            <w:noWrap/>
            <w:vAlign w:val="center"/>
            <w:hideMark/>
          </w:tcPr>
          <w:p w14:paraId="76C8C1CE"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Hydrocortisone</w:t>
            </w:r>
            <w:proofErr w:type="spellEnd"/>
          </w:p>
        </w:tc>
        <w:tc>
          <w:tcPr>
            <w:tcW w:w="1375" w:type="dxa"/>
            <w:tcBorders>
              <w:top w:val="nil"/>
              <w:right w:val="nil"/>
            </w:tcBorders>
          </w:tcPr>
          <w:p w14:paraId="0EBFED81"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-7.22</w:t>
            </w:r>
          </w:p>
        </w:tc>
        <w:tc>
          <w:tcPr>
            <w:tcW w:w="1559" w:type="dxa"/>
            <w:tcBorders>
              <w:top w:val="nil"/>
              <w:left w:val="nil"/>
            </w:tcBorders>
            <w:shd w:val="clear" w:color="auto" w:fill="auto"/>
            <w:vAlign w:val="center"/>
          </w:tcPr>
          <w:p w14:paraId="74073677"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-6.17±0.05</w:t>
            </w:r>
          </w:p>
        </w:tc>
      </w:tr>
      <w:tr w:rsidR="00571545" w:rsidRPr="00571545" w14:paraId="05396A2B" w14:textId="77777777" w:rsidTr="00571545">
        <w:trPr>
          <w:trHeight w:val="227"/>
          <w:jc w:val="center"/>
        </w:trPr>
        <w:tc>
          <w:tcPr>
            <w:tcW w:w="4038" w:type="dxa"/>
            <w:tcBorders>
              <w:top w:val="nil"/>
            </w:tcBorders>
            <w:shd w:val="clear" w:color="auto" w:fill="auto"/>
            <w:noWrap/>
            <w:vAlign w:val="center"/>
            <w:hideMark/>
          </w:tcPr>
          <w:p w14:paraId="3F849A5A"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Hydroquinone</w:t>
            </w:r>
            <w:proofErr w:type="spellEnd"/>
          </w:p>
        </w:tc>
        <w:tc>
          <w:tcPr>
            <w:tcW w:w="1375" w:type="dxa"/>
            <w:tcBorders>
              <w:top w:val="nil"/>
              <w:right w:val="nil"/>
            </w:tcBorders>
          </w:tcPr>
          <w:p w14:paraId="5D22337A"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-6.31</w:t>
            </w:r>
          </w:p>
        </w:tc>
        <w:tc>
          <w:tcPr>
            <w:tcW w:w="1559" w:type="dxa"/>
            <w:tcBorders>
              <w:top w:val="nil"/>
              <w:left w:val="nil"/>
            </w:tcBorders>
            <w:shd w:val="clear" w:color="auto" w:fill="auto"/>
            <w:vAlign w:val="center"/>
          </w:tcPr>
          <w:p w14:paraId="041DC5C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-5.87±0.06</w:t>
            </w:r>
          </w:p>
        </w:tc>
      </w:tr>
      <w:tr w:rsidR="00571545" w:rsidRPr="00571545" w14:paraId="60818238" w14:textId="77777777" w:rsidTr="00571545">
        <w:trPr>
          <w:trHeight w:val="227"/>
          <w:jc w:val="center"/>
        </w:trPr>
        <w:tc>
          <w:tcPr>
            <w:tcW w:w="4038" w:type="dxa"/>
            <w:tcBorders>
              <w:top w:val="nil"/>
            </w:tcBorders>
            <w:shd w:val="clear" w:color="auto" w:fill="auto"/>
            <w:noWrap/>
            <w:vAlign w:val="center"/>
            <w:hideMark/>
          </w:tcPr>
          <w:p w14:paraId="06AAA54D"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Hydroxyprogesterone</w:t>
            </w:r>
            <w:proofErr w:type="spellEnd"/>
          </w:p>
        </w:tc>
        <w:tc>
          <w:tcPr>
            <w:tcW w:w="1375" w:type="dxa"/>
            <w:tcBorders>
              <w:top w:val="nil"/>
              <w:right w:val="nil"/>
            </w:tcBorders>
          </w:tcPr>
          <w:p w14:paraId="5B943EDB"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-6.30</w:t>
            </w:r>
          </w:p>
        </w:tc>
        <w:tc>
          <w:tcPr>
            <w:tcW w:w="1559" w:type="dxa"/>
            <w:tcBorders>
              <w:top w:val="nil"/>
              <w:left w:val="nil"/>
            </w:tcBorders>
            <w:shd w:val="clear" w:color="auto" w:fill="auto"/>
            <w:vAlign w:val="center"/>
          </w:tcPr>
          <w:p w14:paraId="613C4720"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-4.70±0.05</w:t>
            </w:r>
          </w:p>
        </w:tc>
      </w:tr>
      <w:tr w:rsidR="00571545" w:rsidRPr="00571545" w14:paraId="13886361" w14:textId="77777777" w:rsidTr="00571545">
        <w:trPr>
          <w:trHeight w:val="227"/>
          <w:jc w:val="center"/>
        </w:trPr>
        <w:tc>
          <w:tcPr>
            <w:tcW w:w="4038" w:type="dxa"/>
            <w:tcBorders>
              <w:top w:val="nil"/>
            </w:tcBorders>
            <w:shd w:val="clear" w:color="auto" w:fill="auto"/>
            <w:noWrap/>
            <w:vAlign w:val="center"/>
            <w:hideMark/>
          </w:tcPr>
          <w:p w14:paraId="636D9840"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Ibuprofen</w:t>
            </w:r>
            <w:proofErr w:type="spellEnd"/>
          </w:p>
        </w:tc>
        <w:tc>
          <w:tcPr>
            <w:tcW w:w="1375" w:type="dxa"/>
            <w:tcBorders>
              <w:top w:val="nil"/>
              <w:right w:val="nil"/>
            </w:tcBorders>
          </w:tcPr>
          <w:p w14:paraId="7E76BD64"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-4.58</w:t>
            </w:r>
          </w:p>
        </w:tc>
        <w:tc>
          <w:tcPr>
            <w:tcW w:w="1559" w:type="dxa"/>
            <w:tcBorders>
              <w:top w:val="nil"/>
              <w:left w:val="nil"/>
            </w:tcBorders>
            <w:shd w:val="clear" w:color="auto" w:fill="auto"/>
            <w:vAlign w:val="center"/>
          </w:tcPr>
          <w:p w14:paraId="2C4CA5FB"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-3.61±0.06</w:t>
            </w:r>
          </w:p>
        </w:tc>
      </w:tr>
      <w:tr w:rsidR="00571545" w:rsidRPr="00571545" w14:paraId="6D5A5C96" w14:textId="77777777" w:rsidTr="00571545">
        <w:trPr>
          <w:trHeight w:val="227"/>
          <w:jc w:val="center"/>
        </w:trPr>
        <w:tc>
          <w:tcPr>
            <w:tcW w:w="4038" w:type="dxa"/>
            <w:tcBorders>
              <w:top w:val="nil"/>
            </w:tcBorders>
            <w:shd w:val="clear" w:color="auto" w:fill="auto"/>
            <w:noWrap/>
            <w:vAlign w:val="center"/>
            <w:hideMark/>
          </w:tcPr>
          <w:p w14:paraId="725947DE"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Indomethacine</w:t>
            </w:r>
            <w:proofErr w:type="spellEnd"/>
          </w:p>
        </w:tc>
        <w:tc>
          <w:tcPr>
            <w:tcW w:w="1375" w:type="dxa"/>
            <w:tcBorders>
              <w:top w:val="nil"/>
              <w:right w:val="nil"/>
            </w:tcBorders>
          </w:tcPr>
          <w:p w14:paraId="6627025D"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-5.39</w:t>
            </w:r>
          </w:p>
        </w:tc>
        <w:tc>
          <w:tcPr>
            <w:tcW w:w="1559" w:type="dxa"/>
            <w:tcBorders>
              <w:top w:val="nil"/>
              <w:left w:val="nil"/>
            </w:tcBorders>
            <w:shd w:val="clear" w:color="auto" w:fill="auto"/>
            <w:vAlign w:val="center"/>
          </w:tcPr>
          <w:p w14:paraId="0192873A"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-4.40±0.04</w:t>
            </w:r>
          </w:p>
        </w:tc>
      </w:tr>
      <w:tr w:rsidR="00571545" w:rsidRPr="00571545" w14:paraId="7CAB24E8" w14:textId="77777777" w:rsidTr="00571545">
        <w:trPr>
          <w:trHeight w:val="227"/>
          <w:jc w:val="center"/>
        </w:trPr>
        <w:tc>
          <w:tcPr>
            <w:tcW w:w="4038" w:type="dxa"/>
            <w:tcBorders>
              <w:top w:val="nil"/>
            </w:tcBorders>
            <w:shd w:val="clear" w:color="auto" w:fill="auto"/>
            <w:noWrap/>
            <w:vAlign w:val="center"/>
            <w:hideMark/>
          </w:tcPr>
          <w:p w14:paraId="3E9EE041"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Isoquinoline</w:t>
            </w:r>
            <w:proofErr w:type="spellEnd"/>
          </w:p>
        </w:tc>
        <w:tc>
          <w:tcPr>
            <w:tcW w:w="1375" w:type="dxa"/>
            <w:tcBorders>
              <w:top w:val="nil"/>
              <w:right w:val="nil"/>
            </w:tcBorders>
          </w:tcPr>
          <w:p w14:paraId="700DE2EB"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-5.11</w:t>
            </w:r>
          </w:p>
        </w:tc>
        <w:tc>
          <w:tcPr>
            <w:tcW w:w="1559" w:type="dxa"/>
            <w:tcBorders>
              <w:top w:val="nil"/>
              <w:left w:val="nil"/>
            </w:tcBorders>
            <w:shd w:val="clear" w:color="auto" w:fill="auto"/>
            <w:vAlign w:val="center"/>
          </w:tcPr>
          <w:p w14:paraId="5FC7523F"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-4.20±0.01</w:t>
            </w:r>
          </w:p>
        </w:tc>
      </w:tr>
      <w:tr w:rsidR="00571545" w:rsidRPr="00571545" w14:paraId="394CC841" w14:textId="77777777" w:rsidTr="00571545">
        <w:trPr>
          <w:trHeight w:val="227"/>
          <w:jc w:val="center"/>
        </w:trPr>
        <w:tc>
          <w:tcPr>
            <w:tcW w:w="4038" w:type="dxa"/>
            <w:tcBorders>
              <w:top w:val="nil"/>
            </w:tcBorders>
            <w:shd w:val="clear" w:color="auto" w:fill="auto"/>
            <w:noWrap/>
            <w:vAlign w:val="center"/>
            <w:hideMark/>
          </w:tcPr>
          <w:p w14:paraId="4CB3D94F"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Ketoprofen</w:t>
            </w:r>
            <w:proofErr w:type="spellEnd"/>
          </w:p>
        </w:tc>
        <w:tc>
          <w:tcPr>
            <w:tcW w:w="1375" w:type="dxa"/>
            <w:tcBorders>
              <w:top w:val="nil"/>
              <w:right w:val="nil"/>
            </w:tcBorders>
          </w:tcPr>
          <w:p w14:paraId="2AA47D4C"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-5.22</w:t>
            </w:r>
          </w:p>
        </w:tc>
        <w:tc>
          <w:tcPr>
            <w:tcW w:w="1559" w:type="dxa"/>
            <w:tcBorders>
              <w:top w:val="nil"/>
              <w:left w:val="nil"/>
            </w:tcBorders>
            <w:shd w:val="clear" w:color="auto" w:fill="auto"/>
            <w:vAlign w:val="center"/>
          </w:tcPr>
          <w:p w14:paraId="03679F0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-4.68±0.03</w:t>
            </w:r>
          </w:p>
        </w:tc>
      </w:tr>
      <w:tr w:rsidR="00571545" w:rsidRPr="00571545" w14:paraId="782BA1BB" w14:textId="77777777" w:rsidTr="00571545">
        <w:trPr>
          <w:trHeight w:val="227"/>
          <w:jc w:val="center"/>
        </w:trPr>
        <w:tc>
          <w:tcPr>
            <w:tcW w:w="4038" w:type="dxa"/>
            <w:tcBorders>
              <w:top w:val="nil"/>
            </w:tcBorders>
            <w:shd w:val="clear" w:color="auto" w:fill="auto"/>
            <w:noWrap/>
            <w:vAlign w:val="center"/>
            <w:hideMark/>
          </w:tcPr>
          <w:p w14:paraId="51AB30FE"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Methyl</w:t>
            </w:r>
            <w:proofErr w:type="spellEnd"/>
            <w:r w:rsidRPr="00571545">
              <w:rPr>
                <w:rFonts w:cs="Arial"/>
                <w:color w:val="auto"/>
                <w:sz w:val="18"/>
                <w:szCs w:val="18"/>
                <w:lang w:val="es-ES" w:eastAsia="es-ES"/>
              </w:rPr>
              <w:t xml:space="preserve"> 4-hydroxybenzoate</w:t>
            </w:r>
          </w:p>
        </w:tc>
        <w:tc>
          <w:tcPr>
            <w:tcW w:w="1375" w:type="dxa"/>
            <w:tcBorders>
              <w:top w:val="nil"/>
              <w:right w:val="nil"/>
            </w:tcBorders>
          </w:tcPr>
          <w:p w14:paraId="2F834FC6"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-5.12</w:t>
            </w:r>
          </w:p>
        </w:tc>
        <w:tc>
          <w:tcPr>
            <w:tcW w:w="1559" w:type="dxa"/>
            <w:tcBorders>
              <w:top w:val="nil"/>
              <w:left w:val="nil"/>
            </w:tcBorders>
            <w:shd w:val="clear" w:color="auto" w:fill="auto"/>
            <w:vAlign w:val="center"/>
          </w:tcPr>
          <w:p w14:paraId="5B982E0D"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-4.88±0.04</w:t>
            </w:r>
          </w:p>
        </w:tc>
      </w:tr>
      <w:tr w:rsidR="00571545" w:rsidRPr="00571545" w14:paraId="1CBFCFC4" w14:textId="77777777" w:rsidTr="00571545">
        <w:trPr>
          <w:trHeight w:val="227"/>
          <w:jc w:val="center"/>
        </w:trPr>
        <w:tc>
          <w:tcPr>
            <w:tcW w:w="4038" w:type="dxa"/>
            <w:tcBorders>
              <w:top w:val="nil"/>
            </w:tcBorders>
            <w:shd w:val="clear" w:color="auto" w:fill="auto"/>
            <w:noWrap/>
            <w:vAlign w:val="center"/>
            <w:hideMark/>
          </w:tcPr>
          <w:p w14:paraId="3CE86A2F"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Methyl</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phenyl</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ether</w:t>
            </w:r>
            <w:proofErr w:type="spellEnd"/>
            <w:r w:rsidRPr="00571545">
              <w:rPr>
                <w:rFonts w:cs="Arial"/>
                <w:color w:val="auto"/>
                <w:sz w:val="18"/>
                <w:szCs w:val="18"/>
                <w:lang w:val="es-ES" w:eastAsia="es-ES"/>
              </w:rPr>
              <w:t xml:space="preserve"> (</w:t>
            </w:r>
            <w:proofErr w:type="spellStart"/>
            <w:r w:rsidRPr="00571545">
              <w:rPr>
                <w:rFonts w:cs="Arial"/>
                <w:color w:val="auto"/>
                <w:sz w:val="18"/>
                <w:szCs w:val="18"/>
                <w:lang w:val="es-ES" w:eastAsia="es-ES"/>
              </w:rPr>
              <w:t>Anisole</w:t>
            </w:r>
            <w:proofErr w:type="spellEnd"/>
            <w:r w:rsidRPr="00571545">
              <w:rPr>
                <w:rFonts w:cs="Arial"/>
                <w:color w:val="auto"/>
                <w:sz w:val="18"/>
                <w:szCs w:val="18"/>
                <w:lang w:val="es-ES" w:eastAsia="es-ES"/>
              </w:rPr>
              <w:t>)</w:t>
            </w:r>
          </w:p>
        </w:tc>
        <w:tc>
          <w:tcPr>
            <w:tcW w:w="1375" w:type="dxa"/>
            <w:tcBorders>
              <w:top w:val="nil"/>
              <w:right w:val="nil"/>
            </w:tcBorders>
          </w:tcPr>
          <w:p w14:paraId="3B3E7274"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-4.68</w:t>
            </w:r>
          </w:p>
        </w:tc>
        <w:tc>
          <w:tcPr>
            <w:tcW w:w="1559" w:type="dxa"/>
            <w:tcBorders>
              <w:top w:val="nil"/>
              <w:left w:val="nil"/>
            </w:tcBorders>
            <w:shd w:val="clear" w:color="auto" w:fill="auto"/>
            <w:vAlign w:val="center"/>
          </w:tcPr>
          <w:p w14:paraId="65B99CC3"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-4.34±0.04</w:t>
            </w:r>
          </w:p>
        </w:tc>
      </w:tr>
      <w:tr w:rsidR="00571545" w:rsidRPr="00571545" w14:paraId="2296CCE3" w14:textId="77777777" w:rsidTr="00571545">
        <w:trPr>
          <w:trHeight w:val="227"/>
          <w:jc w:val="center"/>
        </w:trPr>
        <w:tc>
          <w:tcPr>
            <w:tcW w:w="4038" w:type="dxa"/>
            <w:tcBorders>
              <w:top w:val="nil"/>
            </w:tcBorders>
            <w:shd w:val="clear" w:color="auto" w:fill="auto"/>
            <w:noWrap/>
            <w:vAlign w:val="center"/>
            <w:hideMark/>
          </w:tcPr>
          <w:p w14:paraId="05924D66"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Naproxen</w:t>
            </w:r>
            <w:proofErr w:type="spellEnd"/>
          </w:p>
        </w:tc>
        <w:tc>
          <w:tcPr>
            <w:tcW w:w="1375" w:type="dxa"/>
            <w:tcBorders>
              <w:top w:val="nil"/>
              <w:right w:val="nil"/>
            </w:tcBorders>
          </w:tcPr>
          <w:p w14:paraId="58B00890"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-4.97</w:t>
            </w:r>
          </w:p>
        </w:tc>
        <w:tc>
          <w:tcPr>
            <w:tcW w:w="1559" w:type="dxa"/>
            <w:tcBorders>
              <w:top w:val="nil"/>
              <w:left w:val="nil"/>
            </w:tcBorders>
            <w:shd w:val="clear" w:color="auto" w:fill="auto"/>
            <w:vAlign w:val="center"/>
          </w:tcPr>
          <w:p w14:paraId="7445533A"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-4.19±0.04</w:t>
            </w:r>
          </w:p>
        </w:tc>
      </w:tr>
      <w:tr w:rsidR="00571545" w:rsidRPr="00571545" w14:paraId="5E0B79F6" w14:textId="77777777" w:rsidTr="00571545">
        <w:trPr>
          <w:trHeight w:val="227"/>
          <w:jc w:val="center"/>
        </w:trPr>
        <w:tc>
          <w:tcPr>
            <w:tcW w:w="4038" w:type="dxa"/>
            <w:tcBorders>
              <w:top w:val="nil"/>
            </w:tcBorders>
            <w:shd w:val="clear" w:color="auto" w:fill="auto"/>
            <w:noWrap/>
            <w:vAlign w:val="center"/>
            <w:hideMark/>
          </w:tcPr>
          <w:p w14:paraId="0E3EDAD6" w14:textId="77777777" w:rsidR="00571545" w:rsidRPr="00571545" w:rsidRDefault="00571545" w:rsidP="00571545">
            <w:pPr>
              <w:spacing w:line="240" w:lineRule="auto"/>
              <w:rPr>
                <w:rFonts w:cs="Arial"/>
                <w:color w:val="auto"/>
                <w:sz w:val="18"/>
                <w:szCs w:val="18"/>
                <w:lang w:val="es-ES" w:eastAsia="es-ES"/>
              </w:rPr>
            </w:pPr>
            <w:r w:rsidRPr="00571545">
              <w:rPr>
                <w:rFonts w:cs="Arial"/>
                <w:color w:val="auto"/>
                <w:sz w:val="18"/>
                <w:szCs w:val="18"/>
                <w:lang w:val="es-ES" w:eastAsia="es-ES"/>
              </w:rPr>
              <w:t>o-</w:t>
            </w:r>
            <w:proofErr w:type="spellStart"/>
            <w:r w:rsidRPr="00571545">
              <w:rPr>
                <w:rFonts w:cs="Arial"/>
                <w:color w:val="auto"/>
                <w:sz w:val="18"/>
                <w:szCs w:val="18"/>
                <w:lang w:val="es-ES" w:eastAsia="es-ES"/>
              </w:rPr>
              <w:t>Phenylenediamine</w:t>
            </w:r>
            <w:proofErr w:type="spellEnd"/>
          </w:p>
        </w:tc>
        <w:tc>
          <w:tcPr>
            <w:tcW w:w="1375" w:type="dxa"/>
            <w:tcBorders>
              <w:top w:val="nil"/>
              <w:right w:val="nil"/>
            </w:tcBorders>
          </w:tcPr>
          <w:p w14:paraId="1C5E0A54"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-6.70</w:t>
            </w:r>
          </w:p>
        </w:tc>
        <w:tc>
          <w:tcPr>
            <w:tcW w:w="1559" w:type="dxa"/>
            <w:tcBorders>
              <w:top w:val="nil"/>
              <w:left w:val="nil"/>
            </w:tcBorders>
            <w:shd w:val="clear" w:color="auto" w:fill="auto"/>
            <w:vAlign w:val="center"/>
          </w:tcPr>
          <w:p w14:paraId="5EBEF00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-5.42±0.02</w:t>
            </w:r>
          </w:p>
        </w:tc>
      </w:tr>
      <w:tr w:rsidR="00571545" w:rsidRPr="00571545" w14:paraId="73A1142C" w14:textId="77777777" w:rsidTr="00571545">
        <w:trPr>
          <w:trHeight w:val="227"/>
          <w:jc w:val="center"/>
        </w:trPr>
        <w:tc>
          <w:tcPr>
            <w:tcW w:w="4038" w:type="dxa"/>
            <w:tcBorders>
              <w:top w:val="nil"/>
            </w:tcBorders>
            <w:shd w:val="clear" w:color="auto" w:fill="auto"/>
            <w:noWrap/>
            <w:vAlign w:val="center"/>
            <w:hideMark/>
          </w:tcPr>
          <w:p w14:paraId="7952B365"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Piroxicam</w:t>
            </w:r>
            <w:proofErr w:type="spellEnd"/>
          </w:p>
        </w:tc>
        <w:tc>
          <w:tcPr>
            <w:tcW w:w="1375" w:type="dxa"/>
            <w:tcBorders>
              <w:top w:val="nil"/>
              <w:right w:val="nil"/>
            </w:tcBorders>
          </w:tcPr>
          <w:p w14:paraId="74B93282"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-6.02</w:t>
            </w:r>
          </w:p>
        </w:tc>
        <w:tc>
          <w:tcPr>
            <w:tcW w:w="1559" w:type="dxa"/>
            <w:tcBorders>
              <w:top w:val="nil"/>
              <w:left w:val="nil"/>
            </w:tcBorders>
            <w:shd w:val="clear" w:color="auto" w:fill="auto"/>
            <w:vAlign w:val="center"/>
          </w:tcPr>
          <w:p w14:paraId="7FD398FD"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-4.67±0.05</w:t>
            </w:r>
          </w:p>
        </w:tc>
      </w:tr>
      <w:tr w:rsidR="00571545" w:rsidRPr="00571545" w14:paraId="067112D6" w14:textId="77777777" w:rsidTr="00571545">
        <w:trPr>
          <w:trHeight w:val="227"/>
          <w:jc w:val="center"/>
        </w:trPr>
        <w:tc>
          <w:tcPr>
            <w:tcW w:w="4038" w:type="dxa"/>
            <w:tcBorders>
              <w:top w:val="nil"/>
            </w:tcBorders>
            <w:shd w:val="clear" w:color="auto" w:fill="auto"/>
            <w:noWrap/>
            <w:vAlign w:val="center"/>
            <w:hideMark/>
          </w:tcPr>
          <w:p w14:paraId="058FDC57"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Prednisolone</w:t>
            </w:r>
            <w:proofErr w:type="spellEnd"/>
          </w:p>
        </w:tc>
        <w:tc>
          <w:tcPr>
            <w:tcW w:w="1375" w:type="dxa"/>
            <w:tcBorders>
              <w:top w:val="nil"/>
              <w:right w:val="nil"/>
            </w:tcBorders>
          </w:tcPr>
          <w:p w14:paraId="7B04AEEC"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-7.91</w:t>
            </w:r>
          </w:p>
        </w:tc>
        <w:tc>
          <w:tcPr>
            <w:tcW w:w="1559" w:type="dxa"/>
            <w:tcBorders>
              <w:top w:val="nil"/>
              <w:left w:val="nil"/>
            </w:tcBorders>
            <w:shd w:val="clear" w:color="auto" w:fill="auto"/>
            <w:vAlign w:val="center"/>
          </w:tcPr>
          <w:p w14:paraId="7DB79236"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-6.42±0.02</w:t>
            </w:r>
          </w:p>
        </w:tc>
      </w:tr>
      <w:tr w:rsidR="00571545" w:rsidRPr="00571545" w14:paraId="1030778D" w14:textId="77777777" w:rsidTr="00571545">
        <w:trPr>
          <w:trHeight w:val="227"/>
          <w:jc w:val="center"/>
        </w:trPr>
        <w:tc>
          <w:tcPr>
            <w:tcW w:w="4038" w:type="dxa"/>
            <w:tcBorders>
              <w:top w:val="nil"/>
            </w:tcBorders>
            <w:shd w:val="clear" w:color="auto" w:fill="auto"/>
            <w:noWrap/>
            <w:vAlign w:val="center"/>
            <w:hideMark/>
          </w:tcPr>
          <w:p w14:paraId="3AEC60E7"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Progesterone</w:t>
            </w:r>
            <w:proofErr w:type="spellEnd"/>
          </w:p>
        </w:tc>
        <w:tc>
          <w:tcPr>
            <w:tcW w:w="1375" w:type="dxa"/>
            <w:tcBorders>
              <w:top w:val="nil"/>
              <w:right w:val="nil"/>
            </w:tcBorders>
          </w:tcPr>
          <w:p w14:paraId="194E4A7F"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-4.90</w:t>
            </w:r>
          </w:p>
        </w:tc>
        <w:tc>
          <w:tcPr>
            <w:tcW w:w="1559" w:type="dxa"/>
            <w:tcBorders>
              <w:top w:val="nil"/>
              <w:left w:val="nil"/>
            </w:tcBorders>
            <w:shd w:val="clear" w:color="auto" w:fill="auto"/>
            <w:vAlign w:val="center"/>
          </w:tcPr>
          <w:p w14:paraId="6B8CB609"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-4.13±0.02</w:t>
            </w:r>
          </w:p>
        </w:tc>
      </w:tr>
      <w:tr w:rsidR="00571545" w:rsidRPr="00571545" w14:paraId="62385EDA" w14:textId="77777777" w:rsidTr="00571545">
        <w:trPr>
          <w:trHeight w:val="227"/>
          <w:jc w:val="center"/>
        </w:trPr>
        <w:tc>
          <w:tcPr>
            <w:tcW w:w="4038" w:type="dxa"/>
            <w:tcBorders>
              <w:top w:val="nil"/>
              <w:bottom w:val="single" w:sz="4" w:space="0" w:color="auto"/>
            </w:tcBorders>
            <w:shd w:val="clear" w:color="auto" w:fill="auto"/>
            <w:noWrap/>
            <w:vAlign w:val="center"/>
            <w:hideMark/>
          </w:tcPr>
          <w:p w14:paraId="2E670E80" w14:textId="77777777" w:rsidR="00571545" w:rsidRPr="00571545" w:rsidRDefault="00571545" w:rsidP="00571545">
            <w:pPr>
              <w:spacing w:line="240" w:lineRule="auto"/>
              <w:rPr>
                <w:rFonts w:cs="Arial"/>
                <w:color w:val="auto"/>
                <w:sz w:val="18"/>
                <w:szCs w:val="18"/>
                <w:lang w:val="es-ES" w:eastAsia="es-ES"/>
              </w:rPr>
            </w:pPr>
            <w:proofErr w:type="spellStart"/>
            <w:r w:rsidRPr="00571545">
              <w:rPr>
                <w:rFonts w:cs="Arial"/>
                <w:color w:val="auto"/>
                <w:sz w:val="18"/>
                <w:szCs w:val="18"/>
                <w:lang w:val="es-ES" w:eastAsia="es-ES"/>
              </w:rPr>
              <w:t>Testosterone</w:t>
            </w:r>
            <w:proofErr w:type="spellEnd"/>
          </w:p>
        </w:tc>
        <w:tc>
          <w:tcPr>
            <w:tcW w:w="1375" w:type="dxa"/>
            <w:tcBorders>
              <w:top w:val="nil"/>
              <w:bottom w:val="single" w:sz="4" w:space="0" w:color="auto"/>
              <w:right w:val="nil"/>
            </w:tcBorders>
          </w:tcPr>
          <w:p w14:paraId="42A419C5" w14:textId="77777777" w:rsidR="00571545" w:rsidRPr="00571545" w:rsidRDefault="00571545" w:rsidP="00571545">
            <w:pPr>
              <w:spacing w:line="240" w:lineRule="auto"/>
              <w:jc w:val="center"/>
              <w:rPr>
                <w:rFonts w:cs="Arial"/>
                <w:color w:val="auto"/>
                <w:sz w:val="18"/>
                <w:szCs w:val="18"/>
                <w:lang w:val="es-ES" w:eastAsia="es-ES"/>
              </w:rPr>
            </w:pPr>
            <w:r w:rsidRPr="00571545">
              <w:rPr>
                <w:rFonts w:cs="Arial"/>
                <w:color w:val="auto"/>
                <w:sz w:val="18"/>
                <w:szCs w:val="18"/>
                <w:lang w:val="es-ES" w:eastAsia="es-ES"/>
              </w:rPr>
              <w:t>-5.54</w:t>
            </w:r>
          </w:p>
        </w:tc>
        <w:tc>
          <w:tcPr>
            <w:tcW w:w="1559" w:type="dxa"/>
            <w:tcBorders>
              <w:top w:val="nil"/>
              <w:left w:val="nil"/>
              <w:bottom w:val="single" w:sz="4" w:space="0" w:color="auto"/>
            </w:tcBorders>
            <w:shd w:val="clear" w:color="auto" w:fill="auto"/>
            <w:vAlign w:val="center"/>
          </w:tcPr>
          <w:p w14:paraId="2C7D692B" w14:textId="77777777" w:rsidR="00571545" w:rsidRPr="00571545" w:rsidRDefault="00571545" w:rsidP="00571545">
            <w:pPr>
              <w:spacing w:line="240" w:lineRule="auto"/>
              <w:jc w:val="center"/>
              <w:rPr>
                <w:rFonts w:cs="Calibri"/>
                <w:color w:val="auto"/>
                <w:sz w:val="18"/>
                <w:szCs w:val="18"/>
                <w:lang w:val="es-ES" w:eastAsia="es-ES"/>
              </w:rPr>
            </w:pPr>
            <w:r w:rsidRPr="00571545">
              <w:rPr>
                <w:rFonts w:cs="Calibri"/>
                <w:color w:val="auto"/>
                <w:sz w:val="18"/>
                <w:szCs w:val="18"/>
                <w:lang w:val="es-ES" w:eastAsia="es-ES"/>
              </w:rPr>
              <w:t>-4.52±0.03</w:t>
            </w:r>
          </w:p>
        </w:tc>
      </w:tr>
    </w:tbl>
    <w:p w14:paraId="062138B9" w14:textId="77777777" w:rsidR="009A42DA" w:rsidRPr="00D91ABA" w:rsidRDefault="009A42DA" w:rsidP="009A42DA">
      <w:pPr>
        <w:pStyle w:val="ADMETheading"/>
        <w:rPr>
          <w:lang w:val="en-GB"/>
        </w:rPr>
      </w:pPr>
      <w:r w:rsidRPr="00D91ABA">
        <w:rPr>
          <w:lang w:val="en-GB"/>
        </w:rPr>
        <w:t>Conclusions</w:t>
      </w:r>
    </w:p>
    <w:p w14:paraId="4389B2ED" w14:textId="62B4AE9F" w:rsidR="009A42DA" w:rsidRPr="00D91ABA" w:rsidRDefault="009A42DA" w:rsidP="009A42DA">
      <w:pPr>
        <w:pStyle w:val="ADMETtext"/>
        <w:rPr>
          <w:lang w:val="en-GB"/>
        </w:rPr>
      </w:pPr>
      <w:r w:rsidRPr="00D91ABA">
        <w:rPr>
          <w:lang w:val="en-GB"/>
        </w:rPr>
        <w:t xml:space="preserve">The tests performed in this work indicate that the ideal assay conditions for skin-PAMPA permeability measurements are 4 hours of incubation time and with the use of stirring. </w:t>
      </w:r>
      <w:r w:rsidRPr="00D91ABA">
        <w:rPr>
          <w:bCs/>
          <w:lang w:val="en-GB"/>
        </w:rPr>
        <w:t>T</w:t>
      </w:r>
      <w:r w:rsidRPr="00D91ABA">
        <w:rPr>
          <w:bCs/>
        </w:rPr>
        <w:t xml:space="preserve">his incubation time allows the determination of permeability of the greatest number of compounds while stirring diminishes the thickness of the aqueous boundary layer. </w:t>
      </w:r>
      <w:r w:rsidR="003430C9">
        <w:rPr>
          <w:lang w:val="en-GB"/>
        </w:rPr>
        <w:t>Concerning</w:t>
      </w:r>
      <w:r w:rsidRPr="00D91ABA">
        <w:rPr>
          <w:lang w:val="en-GB"/>
        </w:rPr>
        <w:t xml:space="preserve"> membrane retention, </w:t>
      </w:r>
      <w:r w:rsidRPr="00D91ABA">
        <w:rPr>
          <w:bCs/>
        </w:rPr>
        <w:t xml:space="preserve">this parameter is in general low (0-0.30). It has </w:t>
      </w:r>
      <w:r w:rsidRPr="00CC5A86">
        <w:t>been</w:t>
      </w:r>
      <w:r w:rsidRPr="00D91ABA">
        <w:rPr>
          <w:bCs/>
        </w:rPr>
        <w:t xml:space="preserve"> observed that the membrane retention depends on the incubation time and also is related to the lipophilicity of compounds when they are in their neutral form. On the other hand, it has been demonstrated that the skin-PAMPA membrane is affected at basic pH values, so it is advisable to perform </w:t>
      </w:r>
      <w:r w:rsidRPr="00D91ABA">
        <w:rPr>
          <w:bCs/>
        </w:rPr>
        <w:lastRenderedPageBreak/>
        <w:t xml:space="preserve">experiments below pH 8 to avoid damaging the membrane. The results shown here indicate good agreement between human skin permeability and skin-PAMPA permeability established under </w:t>
      </w:r>
      <w:r w:rsidRPr="00D91ABA">
        <w:t xml:space="preserve">appropriate assay conditions. </w:t>
      </w:r>
    </w:p>
    <w:p w14:paraId="037CC1ED" w14:textId="684B9A92" w:rsidR="00571545" w:rsidRDefault="00571545" w:rsidP="00CC5A86">
      <w:pPr>
        <w:pStyle w:val="ADMETheading"/>
        <w:rPr>
          <w:lang w:val="en-GB"/>
        </w:rPr>
      </w:pPr>
      <w:r>
        <w:rPr>
          <w:noProof/>
          <w:lang w:val="en-GB" w:eastAsia="en-GB"/>
        </w:rPr>
        <w:drawing>
          <wp:anchor distT="0" distB="0" distL="114300" distR="114300" simplePos="0" relativeHeight="251659264" behindDoc="0" locked="0" layoutInCell="1" allowOverlap="1" wp14:anchorId="537A4AB0" wp14:editId="54C2D03F">
            <wp:simplePos x="0" y="0"/>
            <wp:positionH relativeFrom="column">
              <wp:posOffset>3810</wp:posOffset>
            </wp:positionH>
            <wp:positionV relativeFrom="paragraph">
              <wp:posOffset>166370</wp:posOffset>
            </wp:positionV>
            <wp:extent cx="2570400" cy="2761200"/>
            <wp:effectExtent l="0" t="0" r="1905" b="127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jpg"/>
                    <pic:cNvPicPr/>
                  </pic:nvPicPr>
                  <pic:blipFill>
                    <a:blip r:embed="rId17">
                      <a:extLst>
                        <a:ext uri="{28A0092B-C50C-407E-A947-70E740481C1C}">
                          <a14:useLocalDpi xmlns:a14="http://schemas.microsoft.com/office/drawing/2010/main" val="0"/>
                        </a:ext>
                      </a:extLst>
                    </a:blip>
                    <a:stretch>
                      <a:fillRect/>
                    </a:stretch>
                  </pic:blipFill>
                  <pic:spPr>
                    <a:xfrm>
                      <a:off x="0" y="0"/>
                      <a:ext cx="2570400" cy="2761200"/>
                    </a:xfrm>
                    <a:prstGeom prst="rect">
                      <a:avLst/>
                    </a:prstGeom>
                  </pic:spPr>
                </pic:pic>
              </a:graphicData>
            </a:graphic>
            <wp14:sizeRelH relativeFrom="margin">
              <wp14:pctWidth>0</wp14:pctWidth>
            </wp14:sizeRelH>
            <wp14:sizeRelV relativeFrom="margin">
              <wp14:pctHeight>0</wp14:pctHeight>
            </wp14:sizeRelV>
          </wp:anchor>
        </w:drawing>
      </w:r>
    </w:p>
    <w:p w14:paraId="0C1D8AF7" w14:textId="77777777" w:rsidR="009A42DA" w:rsidRDefault="009A42DA" w:rsidP="00CC5A86">
      <w:pPr>
        <w:pStyle w:val="ADMETheading"/>
        <w:rPr>
          <w:lang w:val="en-GB"/>
        </w:rPr>
      </w:pPr>
    </w:p>
    <w:p w14:paraId="50BBF6D3" w14:textId="77777777" w:rsidR="009A42DA" w:rsidRDefault="009A42DA" w:rsidP="00CC5A86">
      <w:pPr>
        <w:pStyle w:val="ADMETheading"/>
        <w:rPr>
          <w:lang w:val="en-GB"/>
        </w:rPr>
      </w:pPr>
    </w:p>
    <w:p w14:paraId="55F8D2BE" w14:textId="77777777" w:rsidR="009A42DA" w:rsidRDefault="009A42DA" w:rsidP="00CC5A86">
      <w:pPr>
        <w:pStyle w:val="ADMETheading"/>
        <w:rPr>
          <w:lang w:val="en-GB"/>
        </w:rPr>
      </w:pPr>
    </w:p>
    <w:p w14:paraId="45B9B7E9" w14:textId="77777777" w:rsidR="009A42DA" w:rsidRDefault="009A42DA" w:rsidP="00CC5A86">
      <w:pPr>
        <w:pStyle w:val="ADMETheading"/>
        <w:rPr>
          <w:lang w:val="en-GB"/>
        </w:rPr>
      </w:pPr>
    </w:p>
    <w:p w14:paraId="00D14D46" w14:textId="77777777" w:rsidR="009A42DA" w:rsidRDefault="009A42DA" w:rsidP="00CC5A86">
      <w:pPr>
        <w:pStyle w:val="ADMETheading"/>
        <w:rPr>
          <w:lang w:val="en-GB"/>
        </w:rPr>
      </w:pPr>
    </w:p>
    <w:p w14:paraId="788E31EB" w14:textId="77777777" w:rsidR="009A42DA" w:rsidRDefault="009A42DA" w:rsidP="00CC5A86">
      <w:pPr>
        <w:pStyle w:val="ADMETheading"/>
        <w:rPr>
          <w:lang w:val="en-GB"/>
        </w:rPr>
      </w:pPr>
    </w:p>
    <w:p w14:paraId="021E0D1F" w14:textId="77777777" w:rsidR="009A42DA" w:rsidRDefault="009A42DA" w:rsidP="00CC5A86">
      <w:pPr>
        <w:pStyle w:val="ADMETheading"/>
        <w:rPr>
          <w:lang w:val="en-GB"/>
        </w:rPr>
      </w:pPr>
    </w:p>
    <w:p w14:paraId="55EA09CB" w14:textId="77777777" w:rsidR="009A42DA" w:rsidRDefault="009A42DA" w:rsidP="00CC5A86">
      <w:pPr>
        <w:pStyle w:val="ADMETheading"/>
        <w:rPr>
          <w:lang w:val="en-GB"/>
        </w:rPr>
      </w:pPr>
    </w:p>
    <w:p w14:paraId="0E869F0C" w14:textId="77777777" w:rsidR="009A42DA" w:rsidRDefault="009A42DA" w:rsidP="00CC5A86">
      <w:pPr>
        <w:pStyle w:val="ADMETheading"/>
        <w:rPr>
          <w:lang w:val="en-GB"/>
        </w:rPr>
      </w:pPr>
    </w:p>
    <w:p w14:paraId="5D9041DC" w14:textId="77777777" w:rsidR="009A42DA" w:rsidRDefault="009A42DA" w:rsidP="00CC5A86">
      <w:pPr>
        <w:pStyle w:val="ADMETheading"/>
        <w:rPr>
          <w:lang w:val="en-GB"/>
        </w:rPr>
      </w:pPr>
    </w:p>
    <w:p w14:paraId="023B7F19" w14:textId="77777777" w:rsidR="009A42DA" w:rsidRDefault="009A42DA" w:rsidP="00CC5A86">
      <w:pPr>
        <w:pStyle w:val="ADMETheading"/>
        <w:rPr>
          <w:lang w:val="en-GB"/>
        </w:rPr>
      </w:pPr>
    </w:p>
    <w:p w14:paraId="3DF670F7" w14:textId="3073F974" w:rsidR="00571545" w:rsidRDefault="009A42DA" w:rsidP="009A42DA">
      <w:pPr>
        <w:pStyle w:val="ADMETfigurecaptions"/>
        <w:rPr>
          <w:lang w:val="en-GB"/>
        </w:rPr>
      </w:pPr>
      <w:proofErr w:type="gramStart"/>
      <w:r w:rsidRPr="00D91ABA">
        <w:rPr>
          <w:b/>
          <w:lang w:val="en-GB"/>
        </w:rPr>
        <w:t>Figure 4.</w:t>
      </w:r>
      <w:proofErr w:type="gramEnd"/>
      <w:r w:rsidRPr="00D91ABA">
        <w:rPr>
          <w:b/>
          <w:lang w:val="en-GB"/>
        </w:rPr>
        <w:t xml:space="preserve"> </w:t>
      </w:r>
      <w:proofErr w:type="gramStart"/>
      <w:r w:rsidRPr="00D91ABA">
        <w:rPr>
          <w:lang w:val="en-GB"/>
        </w:rPr>
        <w:t>Correlation between human skin permeability and skin-PAMPA permeability.</w:t>
      </w:r>
      <w:proofErr w:type="gramEnd"/>
    </w:p>
    <w:p w14:paraId="6428430A" w14:textId="77777777" w:rsidR="00571545" w:rsidRDefault="00571545" w:rsidP="00CC5A86">
      <w:pPr>
        <w:pStyle w:val="ADMETheading"/>
        <w:rPr>
          <w:lang w:val="en-GB"/>
        </w:rPr>
      </w:pPr>
    </w:p>
    <w:p w14:paraId="77A0BB55" w14:textId="77777777" w:rsidR="00571545" w:rsidRDefault="00571545" w:rsidP="00CC5A86">
      <w:pPr>
        <w:pStyle w:val="ADMETheading"/>
        <w:rPr>
          <w:lang w:val="en-GB"/>
        </w:rPr>
      </w:pPr>
    </w:p>
    <w:p w14:paraId="6C3FB0E0" w14:textId="77777777" w:rsidR="00571545" w:rsidRDefault="00571545" w:rsidP="00CC5A86">
      <w:pPr>
        <w:pStyle w:val="ADMETheading"/>
        <w:rPr>
          <w:lang w:val="en-GB"/>
        </w:rPr>
      </w:pPr>
    </w:p>
    <w:p w14:paraId="3BB2D70D" w14:textId="7091CC45" w:rsidR="00CC5A86" w:rsidRDefault="007F5FFD" w:rsidP="00CC5A86">
      <w:pPr>
        <w:pStyle w:val="ADMETheading"/>
        <w:rPr>
          <w:lang w:val="en-GB"/>
        </w:rPr>
      </w:pPr>
      <w:r w:rsidRPr="00D91ABA">
        <w:rPr>
          <w:lang w:val="en-GB"/>
        </w:rPr>
        <w:t>Acknowledgements</w:t>
      </w:r>
      <w:r w:rsidR="00AB2842" w:rsidRPr="00D91ABA">
        <w:rPr>
          <w:lang w:val="en-GB"/>
        </w:rPr>
        <w:t xml:space="preserve"> </w:t>
      </w:r>
    </w:p>
    <w:p w14:paraId="4C2AC85B" w14:textId="205525A6" w:rsidR="000615A1" w:rsidRDefault="00AB2842" w:rsidP="000615A1">
      <w:pPr>
        <w:pStyle w:val="ADMETtext"/>
        <w:rPr>
          <w:lang w:val="en-GB"/>
        </w:rPr>
      </w:pPr>
      <w:r w:rsidRPr="00D91ABA">
        <w:rPr>
          <w:lang w:val="en-GB"/>
        </w:rPr>
        <w:t xml:space="preserve">Financial support from the </w:t>
      </w:r>
      <w:proofErr w:type="spellStart"/>
      <w:r w:rsidRPr="00D91ABA">
        <w:rPr>
          <w:lang w:val="en-GB"/>
        </w:rPr>
        <w:t>Generalitat</w:t>
      </w:r>
      <w:proofErr w:type="spellEnd"/>
      <w:r w:rsidRPr="00D91ABA">
        <w:rPr>
          <w:lang w:val="en-GB"/>
        </w:rPr>
        <w:t xml:space="preserve"> de </w:t>
      </w:r>
      <w:proofErr w:type="spellStart"/>
      <w:r w:rsidRPr="00D91ABA">
        <w:rPr>
          <w:lang w:val="en-GB"/>
        </w:rPr>
        <w:t>Catalunya</w:t>
      </w:r>
      <w:proofErr w:type="spellEnd"/>
      <w:r w:rsidRPr="00D91ABA">
        <w:rPr>
          <w:lang w:val="en-GB"/>
        </w:rPr>
        <w:t xml:space="preserve"> (Project DI-2014 modality DI-ESP, resolution ECO/1426/2014), </w:t>
      </w:r>
      <w:r w:rsidR="0055684E" w:rsidRPr="00D91ABA">
        <w:rPr>
          <w:lang w:val="en-GB"/>
        </w:rPr>
        <w:t xml:space="preserve">the </w:t>
      </w:r>
      <w:proofErr w:type="spellStart"/>
      <w:r w:rsidR="0055684E" w:rsidRPr="00D91ABA">
        <w:rPr>
          <w:lang w:val="en-GB"/>
        </w:rPr>
        <w:t>Ministerio</w:t>
      </w:r>
      <w:proofErr w:type="spellEnd"/>
      <w:r w:rsidR="0055684E" w:rsidRPr="00D91ABA">
        <w:rPr>
          <w:lang w:val="en-GB"/>
        </w:rPr>
        <w:t xml:space="preserve"> de </w:t>
      </w:r>
      <w:proofErr w:type="spellStart"/>
      <w:r w:rsidR="0055684E" w:rsidRPr="00D91ABA">
        <w:rPr>
          <w:lang w:val="en-GB"/>
        </w:rPr>
        <w:t>Economía</w:t>
      </w:r>
      <w:proofErr w:type="spellEnd"/>
      <w:r w:rsidR="0055684E" w:rsidRPr="00D91ABA">
        <w:rPr>
          <w:lang w:val="en-GB"/>
        </w:rPr>
        <w:t xml:space="preserve"> y </w:t>
      </w:r>
      <w:proofErr w:type="spellStart"/>
      <w:r w:rsidR="0055684E" w:rsidRPr="00D91ABA">
        <w:rPr>
          <w:lang w:val="en-GB"/>
        </w:rPr>
        <w:t>Competitividad</w:t>
      </w:r>
      <w:proofErr w:type="spellEnd"/>
      <w:r w:rsidR="0055684E" w:rsidRPr="00D91ABA">
        <w:rPr>
          <w:lang w:val="en-GB"/>
        </w:rPr>
        <w:t xml:space="preserve"> from the Spanish Government (CTQ2017-88179-P) and the Catalan Government (2017 SGR 1074) is acknowledged.</w:t>
      </w:r>
      <w:r w:rsidR="003E1A67" w:rsidRPr="00D91ABA">
        <w:rPr>
          <w:lang w:val="en-GB"/>
        </w:rPr>
        <w:t xml:space="preserve"> Authors also acknowledge </w:t>
      </w:r>
      <w:r w:rsidR="00921C92" w:rsidRPr="00D91ABA">
        <w:rPr>
          <w:lang w:val="en-GB"/>
        </w:rPr>
        <w:t xml:space="preserve">an anonymous reviewer for </w:t>
      </w:r>
      <w:r w:rsidR="003E1A67" w:rsidRPr="00D91ABA">
        <w:rPr>
          <w:lang w:val="en-GB"/>
        </w:rPr>
        <w:t>the fruitful discussions regarding membrane retention</w:t>
      </w:r>
      <w:r w:rsidR="00921C92" w:rsidRPr="00D91ABA">
        <w:rPr>
          <w:lang w:val="en-GB"/>
        </w:rPr>
        <w:t xml:space="preserve"> and derivation of equation 6 (appendix)</w:t>
      </w:r>
      <w:r w:rsidR="003E1A67" w:rsidRPr="00D91ABA">
        <w:rPr>
          <w:lang w:val="en-GB"/>
        </w:rPr>
        <w:t>.</w:t>
      </w:r>
    </w:p>
    <w:p w14:paraId="7D921BEE" w14:textId="4F37C632" w:rsidR="000615A1" w:rsidRPr="000615A1" w:rsidRDefault="000615A1" w:rsidP="000615A1">
      <w:pPr>
        <w:pStyle w:val="PaperAcknow"/>
        <w:rPr>
          <w:i w:val="0"/>
          <w:color w:val="auto"/>
          <w:sz w:val="22"/>
          <w:szCs w:val="22"/>
        </w:rPr>
      </w:pPr>
      <w:r w:rsidRPr="00EA5012">
        <w:rPr>
          <w:i w:val="0"/>
          <w:color w:val="auto"/>
          <w:sz w:val="22"/>
          <w:szCs w:val="22"/>
        </w:rPr>
        <w:t>Conflict of interest</w:t>
      </w:r>
      <w:r w:rsidRPr="00EA5012">
        <w:rPr>
          <w:b w:val="0"/>
          <w:color w:val="auto"/>
          <w:sz w:val="22"/>
          <w:szCs w:val="22"/>
        </w:rPr>
        <w:t xml:space="preserve">: </w:t>
      </w:r>
      <w:r w:rsidRPr="007A1976">
        <w:rPr>
          <w:b w:val="0"/>
          <w:i w:val="0"/>
          <w:color w:val="auto"/>
          <w:sz w:val="22"/>
          <w:szCs w:val="22"/>
        </w:rPr>
        <w:t>The authors declare no conflict of interest.</w:t>
      </w:r>
    </w:p>
    <w:p w14:paraId="6BABB96D" w14:textId="77777777" w:rsidR="007F5FFD" w:rsidRPr="00D91ABA" w:rsidRDefault="007F5FFD" w:rsidP="00CC5A86">
      <w:pPr>
        <w:pStyle w:val="ADMETheading"/>
        <w:rPr>
          <w:lang w:val="en-GB"/>
        </w:rPr>
      </w:pPr>
      <w:r w:rsidRPr="00CC5A86">
        <w:t>References</w:t>
      </w:r>
      <w:r w:rsidR="00230F95" w:rsidRPr="00D91ABA">
        <w:rPr>
          <w:lang w:val="en-GB"/>
        </w:rPr>
        <w:t xml:space="preserve"> </w:t>
      </w:r>
    </w:p>
    <w:p w14:paraId="21C0A225" w14:textId="134B1792" w:rsidR="00D638CD" w:rsidRPr="00D91ABA" w:rsidRDefault="00067FDC" w:rsidP="007C05E7">
      <w:pPr>
        <w:pStyle w:val="ADMETreferences"/>
        <w:rPr>
          <w:noProof/>
        </w:rPr>
      </w:pPr>
      <w:r w:rsidRPr="00D91ABA">
        <w:rPr>
          <w:szCs w:val="18"/>
          <w:lang w:val="en-GB" w:eastAsia="en-US"/>
        </w:rPr>
        <w:fldChar w:fldCharType="begin" w:fldLock="1"/>
      </w:r>
      <w:r w:rsidRPr="00D91ABA">
        <w:rPr>
          <w:szCs w:val="18"/>
          <w:lang w:val="en-GB" w:eastAsia="en-US"/>
        </w:rPr>
        <w:instrText xml:space="preserve">ADDIN Mendeley Bibliography CSL_BIBLIOGRAPHY </w:instrText>
      </w:r>
      <w:r w:rsidRPr="00D91ABA">
        <w:rPr>
          <w:szCs w:val="18"/>
          <w:lang w:val="en-GB" w:eastAsia="en-US"/>
        </w:rPr>
        <w:fldChar w:fldCharType="separate"/>
      </w:r>
      <w:r w:rsidR="00D638CD" w:rsidRPr="00D91ABA">
        <w:rPr>
          <w:noProof/>
        </w:rPr>
        <w:t>J. Bouwstra</w:t>
      </w:r>
      <w:r w:rsidR="007C05E7">
        <w:rPr>
          <w:noProof/>
        </w:rPr>
        <w:t>.</w:t>
      </w:r>
      <w:r w:rsidR="00567B9D">
        <w:rPr>
          <w:noProof/>
        </w:rPr>
        <w:t xml:space="preserve"> </w:t>
      </w:r>
      <w:r w:rsidR="00D638CD" w:rsidRPr="00D91ABA">
        <w:rPr>
          <w:noProof/>
        </w:rPr>
        <w:t>Structure of the skin barrier and its modulation by vesicular formulations</w:t>
      </w:r>
      <w:r w:rsidR="00567B9D">
        <w:rPr>
          <w:noProof/>
        </w:rPr>
        <w:t>.</w:t>
      </w:r>
      <w:r w:rsidR="00D638CD" w:rsidRPr="00D91ABA">
        <w:rPr>
          <w:noProof/>
        </w:rPr>
        <w:t xml:space="preserve"> </w:t>
      </w:r>
      <w:r w:rsidR="00D638CD" w:rsidRPr="00D91ABA">
        <w:rPr>
          <w:i/>
          <w:iCs/>
          <w:noProof/>
        </w:rPr>
        <w:t>Prog. Lipid Res.</w:t>
      </w:r>
      <w:r w:rsidR="00567B9D">
        <w:rPr>
          <w:noProof/>
        </w:rPr>
        <w:t xml:space="preserve"> </w:t>
      </w:r>
      <w:r w:rsidR="00D638CD" w:rsidRPr="008C2E28">
        <w:rPr>
          <w:b/>
          <w:noProof/>
        </w:rPr>
        <w:t>42</w:t>
      </w:r>
      <w:r w:rsidR="00D638CD" w:rsidRPr="00D91ABA">
        <w:rPr>
          <w:noProof/>
        </w:rPr>
        <w:t xml:space="preserve"> </w:t>
      </w:r>
      <w:r w:rsidR="008C2E28">
        <w:rPr>
          <w:noProof/>
        </w:rPr>
        <w:t xml:space="preserve">(2003) </w:t>
      </w:r>
      <w:r w:rsidR="00D638CD" w:rsidRPr="00D91ABA">
        <w:rPr>
          <w:noProof/>
        </w:rPr>
        <w:t>1–36.</w:t>
      </w:r>
    </w:p>
    <w:p w14:paraId="76192F05" w14:textId="392F2E86" w:rsidR="00D638CD" w:rsidRPr="00D91ABA" w:rsidRDefault="00D638CD" w:rsidP="007C05E7">
      <w:pPr>
        <w:pStyle w:val="ADMETreferences"/>
        <w:rPr>
          <w:noProof/>
        </w:rPr>
      </w:pPr>
      <w:r w:rsidRPr="00D91ABA">
        <w:rPr>
          <w:noProof/>
        </w:rPr>
        <w:t>T.J. Franz</w:t>
      </w:r>
      <w:r w:rsidR="007C05E7">
        <w:rPr>
          <w:noProof/>
        </w:rPr>
        <w:t>.</w:t>
      </w:r>
      <w:r w:rsidR="00567B9D">
        <w:rPr>
          <w:noProof/>
        </w:rPr>
        <w:t xml:space="preserve"> </w:t>
      </w:r>
      <w:r w:rsidRPr="00D91ABA">
        <w:rPr>
          <w:noProof/>
        </w:rPr>
        <w:t>Percutaneous Absorption. On the Relevance of in Vitro Data</w:t>
      </w:r>
      <w:r w:rsidR="00567B9D">
        <w:rPr>
          <w:noProof/>
        </w:rPr>
        <w:t>.</w:t>
      </w:r>
      <w:r w:rsidRPr="00D91ABA">
        <w:rPr>
          <w:noProof/>
        </w:rPr>
        <w:t xml:space="preserve"> </w:t>
      </w:r>
      <w:r w:rsidRPr="00D91ABA">
        <w:rPr>
          <w:i/>
          <w:iCs/>
          <w:noProof/>
        </w:rPr>
        <w:t>J. Invest. Dermatol.</w:t>
      </w:r>
      <w:r w:rsidR="00567B9D">
        <w:rPr>
          <w:noProof/>
        </w:rPr>
        <w:t xml:space="preserve"> </w:t>
      </w:r>
      <w:r w:rsidRPr="008C2E28">
        <w:rPr>
          <w:b/>
          <w:noProof/>
        </w:rPr>
        <w:t>64</w:t>
      </w:r>
      <w:r w:rsidRPr="00D91ABA">
        <w:rPr>
          <w:noProof/>
        </w:rPr>
        <w:t xml:space="preserve"> </w:t>
      </w:r>
      <w:r w:rsidR="008C2E28">
        <w:rPr>
          <w:noProof/>
        </w:rPr>
        <w:t xml:space="preserve">(1975) </w:t>
      </w:r>
      <w:r w:rsidRPr="00D91ABA">
        <w:rPr>
          <w:noProof/>
        </w:rPr>
        <w:t>190–195.</w:t>
      </w:r>
    </w:p>
    <w:p w14:paraId="3F2DBAE4" w14:textId="726D60F5" w:rsidR="00D638CD" w:rsidRPr="00D91ABA" w:rsidRDefault="00D638CD" w:rsidP="007C05E7">
      <w:pPr>
        <w:pStyle w:val="ADMETreferences"/>
        <w:rPr>
          <w:noProof/>
        </w:rPr>
      </w:pPr>
      <w:r w:rsidRPr="00D91ABA">
        <w:rPr>
          <w:noProof/>
        </w:rPr>
        <w:t>M. Kansy, F. Senner, K. Gubernator</w:t>
      </w:r>
      <w:r w:rsidR="007C05E7">
        <w:rPr>
          <w:noProof/>
        </w:rPr>
        <w:t>.</w:t>
      </w:r>
      <w:r w:rsidR="00567B9D">
        <w:rPr>
          <w:noProof/>
        </w:rPr>
        <w:t xml:space="preserve"> </w:t>
      </w:r>
      <w:r w:rsidRPr="00D91ABA">
        <w:rPr>
          <w:noProof/>
        </w:rPr>
        <w:t>Physicochemical high throughput screening: Parallel artificial membrane permeation assay in the description of passive absorption processes</w:t>
      </w:r>
      <w:r w:rsidR="00567B9D">
        <w:rPr>
          <w:noProof/>
        </w:rPr>
        <w:t>.</w:t>
      </w:r>
      <w:r w:rsidRPr="00D91ABA">
        <w:rPr>
          <w:noProof/>
        </w:rPr>
        <w:t xml:space="preserve"> </w:t>
      </w:r>
      <w:r w:rsidRPr="00D91ABA">
        <w:rPr>
          <w:i/>
          <w:iCs/>
          <w:noProof/>
        </w:rPr>
        <w:t>J. Med. Chem.</w:t>
      </w:r>
      <w:r w:rsidR="00567B9D">
        <w:rPr>
          <w:noProof/>
        </w:rPr>
        <w:t xml:space="preserve"> </w:t>
      </w:r>
      <w:r w:rsidRPr="008C2E28">
        <w:rPr>
          <w:b/>
          <w:noProof/>
        </w:rPr>
        <w:t>41</w:t>
      </w:r>
      <w:r w:rsidRPr="00D91ABA">
        <w:rPr>
          <w:noProof/>
        </w:rPr>
        <w:t xml:space="preserve"> </w:t>
      </w:r>
      <w:r w:rsidR="008C2E28">
        <w:rPr>
          <w:noProof/>
        </w:rPr>
        <w:t xml:space="preserve">(1998) </w:t>
      </w:r>
      <w:r w:rsidRPr="00D91ABA">
        <w:rPr>
          <w:noProof/>
        </w:rPr>
        <w:t>1007–1010.</w:t>
      </w:r>
    </w:p>
    <w:p w14:paraId="5867A234" w14:textId="647A02CD" w:rsidR="00D638CD" w:rsidRPr="00D91ABA" w:rsidRDefault="00D638CD" w:rsidP="007C05E7">
      <w:pPr>
        <w:pStyle w:val="ADMETreferences"/>
        <w:rPr>
          <w:noProof/>
        </w:rPr>
      </w:pPr>
      <w:r w:rsidRPr="00D91ABA">
        <w:rPr>
          <w:noProof/>
        </w:rPr>
        <w:t>A. Avdeef</w:t>
      </w:r>
      <w:r w:rsidR="007C05E7">
        <w:rPr>
          <w:noProof/>
        </w:rPr>
        <w:t>.</w:t>
      </w:r>
      <w:r w:rsidRPr="00D91ABA">
        <w:rPr>
          <w:noProof/>
        </w:rPr>
        <w:t xml:space="preserve"> </w:t>
      </w:r>
      <w:r w:rsidRPr="00D91ABA">
        <w:rPr>
          <w:i/>
          <w:iCs/>
          <w:noProof/>
        </w:rPr>
        <w:t>Absorption and Drug Development: Solubility, Permeability, and Charge State</w:t>
      </w:r>
      <w:r w:rsidRPr="00D91ABA">
        <w:rPr>
          <w:noProof/>
        </w:rPr>
        <w:t>. John Wiley &amp; Sons, Inc, 2003.</w:t>
      </w:r>
    </w:p>
    <w:p w14:paraId="1AC69BE1" w14:textId="5F1FD2B8" w:rsidR="00D638CD" w:rsidRPr="00D91ABA" w:rsidRDefault="00D638CD" w:rsidP="007C05E7">
      <w:pPr>
        <w:pStyle w:val="ADMETreferences"/>
        <w:rPr>
          <w:noProof/>
        </w:rPr>
      </w:pPr>
      <w:r w:rsidRPr="00D91ABA">
        <w:rPr>
          <w:noProof/>
        </w:rPr>
        <w:t>A. Avdeef,</w:t>
      </w:r>
      <w:r w:rsidR="007C05E7">
        <w:rPr>
          <w:noProof/>
        </w:rPr>
        <w:t xml:space="preserve"> S. Bendels, L. Di, B. Faller, M. Kansy, K. Sugano, Y. Yamauchi.</w:t>
      </w:r>
      <w:r w:rsidR="00567B9D">
        <w:rPr>
          <w:noProof/>
        </w:rPr>
        <w:t xml:space="preserve"> </w:t>
      </w:r>
      <w:r w:rsidRPr="00D91ABA">
        <w:rPr>
          <w:noProof/>
        </w:rPr>
        <w:t>PAMPA—critical factors for better predictions of absorption</w:t>
      </w:r>
      <w:r w:rsidR="00567B9D">
        <w:rPr>
          <w:noProof/>
        </w:rPr>
        <w:t>.</w:t>
      </w:r>
      <w:r w:rsidRPr="00D91ABA">
        <w:rPr>
          <w:noProof/>
        </w:rPr>
        <w:t xml:space="preserve"> </w:t>
      </w:r>
      <w:r w:rsidRPr="00D91ABA">
        <w:rPr>
          <w:i/>
          <w:iCs/>
          <w:noProof/>
        </w:rPr>
        <w:t>J. Pharm. Sci.</w:t>
      </w:r>
      <w:r w:rsidR="00567B9D">
        <w:rPr>
          <w:noProof/>
        </w:rPr>
        <w:t xml:space="preserve"> </w:t>
      </w:r>
      <w:r w:rsidRPr="008C2E28">
        <w:rPr>
          <w:b/>
          <w:noProof/>
        </w:rPr>
        <w:t>96</w:t>
      </w:r>
      <w:r w:rsidRPr="00D91ABA">
        <w:rPr>
          <w:noProof/>
        </w:rPr>
        <w:t xml:space="preserve"> </w:t>
      </w:r>
      <w:r w:rsidR="008C2E28">
        <w:rPr>
          <w:noProof/>
        </w:rPr>
        <w:t xml:space="preserve">(2007) </w:t>
      </w:r>
      <w:r w:rsidRPr="00D91ABA">
        <w:rPr>
          <w:noProof/>
        </w:rPr>
        <w:t>2893–2909.</w:t>
      </w:r>
    </w:p>
    <w:p w14:paraId="5056CB4C" w14:textId="53DCF767" w:rsidR="00D638CD" w:rsidRPr="00D91ABA" w:rsidRDefault="00D638CD" w:rsidP="007C05E7">
      <w:pPr>
        <w:pStyle w:val="ADMETreferences"/>
        <w:rPr>
          <w:noProof/>
        </w:rPr>
      </w:pPr>
      <w:r w:rsidRPr="00D91ABA">
        <w:rPr>
          <w:noProof/>
        </w:rPr>
        <w:t>A. Avdeef</w:t>
      </w:r>
      <w:r w:rsidR="007C05E7">
        <w:rPr>
          <w:noProof/>
        </w:rPr>
        <w:t>,</w:t>
      </w:r>
      <w:r w:rsidRPr="00D91ABA">
        <w:rPr>
          <w:noProof/>
        </w:rPr>
        <w:t xml:space="preserve"> O. Tsinman</w:t>
      </w:r>
      <w:r w:rsidR="007C05E7">
        <w:rPr>
          <w:noProof/>
        </w:rPr>
        <w:t>.</w:t>
      </w:r>
      <w:r w:rsidR="00567B9D">
        <w:rPr>
          <w:noProof/>
        </w:rPr>
        <w:t xml:space="preserve"> </w:t>
      </w:r>
      <w:r w:rsidRPr="00D91ABA">
        <w:rPr>
          <w:noProof/>
        </w:rPr>
        <w:t>PAMPA—A drug absorption in vitro model</w:t>
      </w:r>
      <w:r w:rsidR="00567B9D">
        <w:rPr>
          <w:noProof/>
        </w:rPr>
        <w:t>.</w:t>
      </w:r>
      <w:r w:rsidRPr="00D91ABA">
        <w:rPr>
          <w:noProof/>
        </w:rPr>
        <w:t xml:space="preserve"> </w:t>
      </w:r>
      <w:r w:rsidRPr="00D91ABA">
        <w:rPr>
          <w:i/>
          <w:iCs/>
          <w:noProof/>
        </w:rPr>
        <w:t>Eur. J. Pharm. Sci.</w:t>
      </w:r>
      <w:r w:rsidR="00567B9D">
        <w:rPr>
          <w:noProof/>
        </w:rPr>
        <w:t xml:space="preserve"> </w:t>
      </w:r>
      <w:r w:rsidRPr="008C2E28">
        <w:rPr>
          <w:b/>
          <w:noProof/>
        </w:rPr>
        <w:t>28</w:t>
      </w:r>
      <w:r w:rsidRPr="00D91ABA">
        <w:rPr>
          <w:noProof/>
        </w:rPr>
        <w:t xml:space="preserve"> </w:t>
      </w:r>
      <w:r w:rsidR="008C2E28">
        <w:rPr>
          <w:noProof/>
        </w:rPr>
        <w:t xml:space="preserve">(2006) </w:t>
      </w:r>
      <w:r w:rsidRPr="00D91ABA">
        <w:rPr>
          <w:noProof/>
        </w:rPr>
        <w:t>43–50.</w:t>
      </w:r>
    </w:p>
    <w:p w14:paraId="2CC2042B" w14:textId="1B096A48" w:rsidR="00D638CD" w:rsidRPr="00D91ABA" w:rsidRDefault="00D638CD" w:rsidP="007C05E7">
      <w:pPr>
        <w:pStyle w:val="ADMETreferences"/>
        <w:rPr>
          <w:noProof/>
        </w:rPr>
      </w:pPr>
      <w:r w:rsidRPr="00D91ABA">
        <w:rPr>
          <w:noProof/>
        </w:rPr>
        <w:t>O. Tsinman, K. Tsinman, N. Sun, A. Avdeef</w:t>
      </w:r>
      <w:r w:rsidR="007C05E7">
        <w:rPr>
          <w:noProof/>
        </w:rPr>
        <w:t>.</w:t>
      </w:r>
      <w:r w:rsidR="00567B9D">
        <w:rPr>
          <w:noProof/>
        </w:rPr>
        <w:t xml:space="preserve"> </w:t>
      </w:r>
      <w:r w:rsidRPr="00D91ABA">
        <w:rPr>
          <w:noProof/>
        </w:rPr>
        <w:t>Physicochemical Selectivity of the BBB Microenvironment Governing Passive Diffusion—Matching with a Porcine Brain Lipid Extract Artificial Membrane Permeability Model</w:t>
      </w:r>
      <w:r w:rsidR="00567B9D">
        <w:rPr>
          <w:noProof/>
        </w:rPr>
        <w:t>.</w:t>
      </w:r>
      <w:r w:rsidRPr="00D91ABA">
        <w:rPr>
          <w:noProof/>
        </w:rPr>
        <w:t xml:space="preserve"> </w:t>
      </w:r>
      <w:r w:rsidRPr="00D91ABA">
        <w:rPr>
          <w:i/>
          <w:iCs/>
          <w:noProof/>
        </w:rPr>
        <w:t>Pharm. Res.</w:t>
      </w:r>
      <w:r w:rsidR="00567B9D">
        <w:rPr>
          <w:noProof/>
        </w:rPr>
        <w:t xml:space="preserve"> </w:t>
      </w:r>
      <w:r w:rsidRPr="008C2E28">
        <w:rPr>
          <w:b/>
          <w:noProof/>
        </w:rPr>
        <w:t>28</w:t>
      </w:r>
      <w:r w:rsidRPr="00D91ABA">
        <w:rPr>
          <w:noProof/>
        </w:rPr>
        <w:t xml:space="preserve"> </w:t>
      </w:r>
      <w:r w:rsidR="008C2E28">
        <w:rPr>
          <w:noProof/>
        </w:rPr>
        <w:t xml:space="preserve">(2011) </w:t>
      </w:r>
      <w:r w:rsidRPr="00D91ABA">
        <w:rPr>
          <w:noProof/>
        </w:rPr>
        <w:t>337–363.</w:t>
      </w:r>
    </w:p>
    <w:p w14:paraId="2A26AC21" w14:textId="58343809" w:rsidR="00D638CD" w:rsidRPr="00D91ABA" w:rsidRDefault="00D638CD" w:rsidP="007C05E7">
      <w:pPr>
        <w:pStyle w:val="ADMETreferences"/>
        <w:rPr>
          <w:noProof/>
        </w:rPr>
      </w:pPr>
      <w:r w:rsidRPr="00D91ABA">
        <w:rPr>
          <w:noProof/>
        </w:rPr>
        <w:lastRenderedPageBreak/>
        <w:t>G. Ottaviani, S. Martel, P. A. Carrupt</w:t>
      </w:r>
      <w:r w:rsidR="007C05E7">
        <w:rPr>
          <w:noProof/>
        </w:rPr>
        <w:t>.</w:t>
      </w:r>
      <w:r w:rsidR="00567B9D">
        <w:rPr>
          <w:noProof/>
        </w:rPr>
        <w:t xml:space="preserve"> </w:t>
      </w:r>
      <w:r w:rsidRPr="00D91ABA">
        <w:rPr>
          <w:noProof/>
        </w:rPr>
        <w:t>Parallel artificial membrane permeability assay: a new membrane for the fast prediction of passive human skin permeability</w:t>
      </w:r>
      <w:r w:rsidR="00567B9D">
        <w:rPr>
          <w:noProof/>
        </w:rPr>
        <w:t>.</w:t>
      </w:r>
      <w:r w:rsidRPr="00D91ABA">
        <w:rPr>
          <w:noProof/>
        </w:rPr>
        <w:t xml:space="preserve"> </w:t>
      </w:r>
      <w:r w:rsidRPr="00D91ABA">
        <w:rPr>
          <w:i/>
          <w:iCs/>
          <w:noProof/>
        </w:rPr>
        <w:t>J. Med. Chem.</w:t>
      </w:r>
      <w:r w:rsidR="00567B9D">
        <w:rPr>
          <w:noProof/>
        </w:rPr>
        <w:t xml:space="preserve"> </w:t>
      </w:r>
      <w:r w:rsidRPr="008C2E28">
        <w:rPr>
          <w:b/>
          <w:noProof/>
        </w:rPr>
        <w:t>49</w:t>
      </w:r>
      <w:r w:rsidRPr="00D91ABA">
        <w:rPr>
          <w:noProof/>
        </w:rPr>
        <w:t xml:space="preserve"> no. 13, pp. 3948–3954, 2006.</w:t>
      </w:r>
    </w:p>
    <w:p w14:paraId="28A644E8" w14:textId="4F5BF1ED" w:rsidR="00D638CD" w:rsidRPr="00D91ABA" w:rsidRDefault="00D638CD" w:rsidP="007C05E7">
      <w:pPr>
        <w:pStyle w:val="ADMETreferences"/>
        <w:rPr>
          <w:noProof/>
        </w:rPr>
      </w:pPr>
      <w:r w:rsidRPr="00D91ABA">
        <w:rPr>
          <w:noProof/>
        </w:rPr>
        <w:t>B. Sinkó, J. Kökösi, A. Avdeef, K. Takács-Novák</w:t>
      </w:r>
      <w:r w:rsidR="007C05E7">
        <w:rPr>
          <w:noProof/>
        </w:rPr>
        <w:t>.</w:t>
      </w:r>
      <w:r w:rsidR="00567B9D">
        <w:rPr>
          <w:noProof/>
        </w:rPr>
        <w:t xml:space="preserve"> </w:t>
      </w:r>
      <w:r w:rsidRPr="00D91ABA">
        <w:rPr>
          <w:noProof/>
        </w:rPr>
        <w:t>A PAMPA Study of the Permeability-Enhancing Effect of New Ceramide Analogues</w:t>
      </w:r>
      <w:r w:rsidR="00567B9D">
        <w:rPr>
          <w:noProof/>
        </w:rPr>
        <w:t>.</w:t>
      </w:r>
      <w:r w:rsidRPr="00D91ABA">
        <w:rPr>
          <w:noProof/>
        </w:rPr>
        <w:t xml:space="preserve"> </w:t>
      </w:r>
      <w:r w:rsidRPr="00D91ABA">
        <w:rPr>
          <w:i/>
          <w:iCs/>
          <w:noProof/>
        </w:rPr>
        <w:t>Chem. Biodivers.</w:t>
      </w:r>
      <w:r w:rsidR="00567B9D">
        <w:rPr>
          <w:noProof/>
        </w:rPr>
        <w:t xml:space="preserve"> </w:t>
      </w:r>
      <w:r w:rsidRPr="008C2E28">
        <w:rPr>
          <w:b/>
          <w:noProof/>
        </w:rPr>
        <w:t>6</w:t>
      </w:r>
      <w:r w:rsidRPr="00D91ABA">
        <w:rPr>
          <w:noProof/>
        </w:rPr>
        <w:t xml:space="preserve"> </w:t>
      </w:r>
      <w:r w:rsidR="008C2E28">
        <w:rPr>
          <w:noProof/>
        </w:rPr>
        <w:t xml:space="preserve">(2009) </w:t>
      </w:r>
      <w:r w:rsidRPr="00D91ABA">
        <w:rPr>
          <w:noProof/>
        </w:rPr>
        <w:t>1867–1874.</w:t>
      </w:r>
    </w:p>
    <w:p w14:paraId="0DAE46BC" w14:textId="5387267C" w:rsidR="00D638CD" w:rsidRPr="00D91ABA" w:rsidRDefault="00D638CD" w:rsidP="007C05E7">
      <w:pPr>
        <w:pStyle w:val="ADMETreferences"/>
        <w:rPr>
          <w:noProof/>
        </w:rPr>
      </w:pPr>
      <w:r w:rsidRPr="00D91ABA">
        <w:rPr>
          <w:noProof/>
        </w:rPr>
        <w:t>B. Sinkó</w:t>
      </w:r>
      <w:r w:rsidR="007C05E7">
        <w:rPr>
          <w:noProof/>
        </w:rPr>
        <w:t xml:space="preserve">, T.M. Garrigues, G.T. Balogh, Z.K. Nagy, O. Tsinman, A. Avdeef, </w:t>
      </w:r>
      <w:r w:rsidRPr="00D91ABA">
        <w:rPr>
          <w:noProof/>
        </w:rPr>
        <w:t xml:space="preserve"> </w:t>
      </w:r>
      <w:r w:rsidR="007C05E7" w:rsidRPr="00D91ABA">
        <w:rPr>
          <w:noProof/>
        </w:rPr>
        <w:t>K. Takács-Novák</w:t>
      </w:r>
      <w:r w:rsidR="007C05E7">
        <w:rPr>
          <w:noProof/>
        </w:rPr>
        <w:t>.</w:t>
      </w:r>
      <w:r w:rsidR="00567B9D">
        <w:rPr>
          <w:noProof/>
        </w:rPr>
        <w:t xml:space="preserve"> </w:t>
      </w:r>
      <w:r w:rsidRPr="00D91ABA">
        <w:rPr>
          <w:noProof/>
        </w:rPr>
        <w:t>Skin–PAMPA: A new method for fast prediction of skin penetration</w:t>
      </w:r>
      <w:r w:rsidR="00567B9D">
        <w:rPr>
          <w:noProof/>
        </w:rPr>
        <w:t>.</w:t>
      </w:r>
      <w:r w:rsidRPr="00D91ABA">
        <w:rPr>
          <w:noProof/>
        </w:rPr>
        <w:t xml:space="preserve"> </w:t>
      </w:r>
      <w:r w:rsidRPr="00D91ABA">
        <w:rPr>
          <w:i/>
          <w:iCs/>
          <w:noProof/>
        </w:rPr>
        <w:t>Eur. J. Pharm. Sci.</w:t>
      </w:r>
      <w:r w:rsidR="00567B9D">
        <w:rPr>
          <w:noProof/>
        </w:rPr>
        <w:t xml:space="preserve"> </w:t>
      </w:r>
      <w:r w:rsidRPr="008C2E28">
        <w:rPr>
          <w:b/>
          <w:noProof/>
        </w:rPr>
        <w:t>45</w:t>
      </w:r>
      <w:r w:rsidRPr="00D91ABA">
        <w:rPr>
          <w:noProof/>
        </w:rPr>
        <w:t xml:space="preserve"> </w:t>
      </w:r>
      <w:r w:rsidR="008C2E28">
        <w:rPr>
          <w:noProof/>
        </w:rPr>
        <w:t xml:space="preserve">(2012) </w:t>
      </w:r>
      <w:r w:rsidRPr="00D91ABA">
        <w:rPr>
          <w:noProof/>
        </w:rPr>
        <w:t>698–707.</w:t>
      </w:r>
    </w:p>
    <w:p w14:paraId="71DC5497" w14:textId="2D041B7C" w:rsidR="00D638CD" w:rsidRPr="00D91ABA" w:rsidRDefault="00D638CD" w:rsidP="007C05E7">
      <w:pPr>
        <w:pStyle w:val="ADMETreferences"/>
        <w:rPr>
          <w:noProof/>
        </w:rPr>
      </w:pPr>
      <w:r w:rsidRPr="00D91ABA">
        <w:rPr>
          <w:noProof/>
        </w:rPr>
        <w:t>B. Sinkó, G. Vizserálek, K. Takács-Novák</w:t>
      </w:r>
      <w:r w:rsidR="007C05E7">
        <w:rPr>
          <w:noProof/>
        </w:rPr>
        <w:t>.</w:t>
      </w:r>
      <w:r w:rsidR="00567B9D">
        <w:rPr>
          <w:noProof/>
        </w:rPr>
        <w:t xml:space="preserve"> </w:t>
      </w:r>
      <w:r w:rsidRPr="00D91ABA">
        <w:rPr>
          <w:noProof/>
        </w:rPr>
        <w:t>Skin PAMPA: Application in practice</w:t>
      </w:r>
      <w:r w:rsidR="00567B9D">
        <w:rPr>
          <w:noProof/>
        </w:rPr>
        <w:t>.</w:t>
      </w:r>
      <w:r w:rsidRPr="00D91ABA">
        <w:rPr>
          <w:noProof/>
        </w:rPr>
        <w:t xml:space="preserve"> </w:t>
      </w:r>
      <w:r w:rsidRPr="00D91ABA">
        <w:rPr>
          <w:i/>
          <w:iCs/>
          <w:noProof/>
        </w:rPr>
        <w:t>ADMET DMPK</w:t>
      </w:r>
      <w:r w:rsidR="00567B9D">
        <w:rPr>
          <w:noProof/>
        </w:rPr>
        <w:t xml:space="preserve"> </w:t>
      </w:r>
      <w:r w:rsidRPr="008C2E28">
        <w:rPr>
          <w:b/>
          <w:noProof/>
        </w:rPr>
        <w:t>2</w:t>
      </w:r>
      <w:r w:rsidRPr="00D91ABA">
        <w:rPr>
          <w:noProof/>
        </w:rPr>
        <w:t xml:space="preserve"> </w:t>
      </w:r>
      <w:r w:rsidR="008C2E28">
        <w:rPr>
          <w:noProof/>
        </w:rPr>
        <w:t>(</w:t>
      </w:r>
      <w:r w:rsidRPr="00D91ABA">
        <w:rPr>
          <w:noProof/>
        </w:rPr>
        <w:t>201</w:t>
      </w:r>
      <w:r w:rsidR="008C2E28">
        <w:rPr>
          <w:noProof/>
        </w:rPr>
        <w:t>4) 191-198</w:t>
      </w:r>
      <w:r w:rsidRPr="00D91ABA">
        <w:rPr>
          <w:noProof/>
        </w:rPr>
        <w:t>.</w:t>
      </w:r>
    </w:p>
    <w:p w14:paraId="2CA60AD6" w14:textId="11BE1150" w:rsidR="00D638CD" w:rsidRPr="00D91ABA" w:rsidRDefault="00D638CD" w:rsidP="007C05E7">
      <w:pPr>
        <w:pStyle w:val="ADMETreferences"/>
        <w:rPr>
          <w:noProof/>
        </w:rPr>
      </w:pPr>
      <w:r w:rsidRPr="00D91ABA">
        <w:rPr>
          <w:noProof/>
        </w:rPr>
        <w:t>K. Tsinman</w:t>
      </w:r>
      <w:r w:rsidR="007C05E7">
        <w:rPr>
          <w:noProof/>
        </w:rPr>
        <w:t>,</w:t>
      </w:r>
      <w:r w:rsidRPr="00D91ABA">
        <w:rPr>
          <w:noProof/>
        </w:rPr>
        <w:t xml:space="preserve"> B. Sinkó</w:t>
      </w:r>
      <w:r w:rsidR="007C05E7">
        <w:rPr>
          <w:noProof/>
        </w:rPr>
        <w:t>.</w:t>
      </w:r>
      <w:r w:rsidR="00567B9D">
        <w:rPr>
          <w:noProof/>
        </w:rPr>
        <w:t xml:space="preserve"> </w:t>
      </w:r>
      <w:r w:rsidRPr="00D91ABA">
        <w:rPr>
          <w:noProof/>
        </w:rPr>
        <w:t>A High Throughput Method to Predict Skin Penetration and Screen Topical Formulations</w:t>
      </w:r>
      <w:r w:rsidR="00567B9D">
        <w:rPr>
          <w:noProof/>
        </w:rPr>
        <w:t>.</w:t>
      </w:r>
      <w:r w:rsidRPr="00D91ABA">
        <w:rPr>
          <w:noProof/>
        </w:rPr>
        <w:t xml:space="preserve"> </w:t>
      </w:r>
      <w:r w:rsidRPr="00D91ABA">
        <w:rPr>
          <w:i/>
          <w:iCs/>
          <w:noProof/>
        </w:rPr>
        <w:t>Cosmet. Toilet.</w:t>
      </w:r>
      <w:r w:rsidR="00567B9D">
        <w:rPr>
          <w:noProof/>
        </w:rPr>
        <w:t xml:space="preserve"> </w:t>
      </w:r>
      <w:r w:rsidRPr="008C2E28">
        <w:rPr>
          <w:b/>
          <w:noProof/>
        </w:rPr>
        <w:t>128</w:t>
      </w:r>
      <w:r w:rsidRPr="00D91ABA">
        <w:rPr>
          <w:noProof/>
        </w:rPr>
        <w:t xml:space="preserve"> </w:t>
      </w:r>
      <w:r w:rsidR="008C2E28">
        <w:rPr>
          <w:noProof/>
        </w:rPr>
        <w:t xml:space="preserve">(2013) </w:t>
      </w:r>
      <w:r w:rsidRPr="00D91ABA">
        <w:rPr>
          <w:noProof/>
        </w:rPr>
        <w:t>192–199.</w:t>
      </w:r>
    </w:p>
    <w:p w14:paraId="78FA6F75" w14:textId="60666453" w:rsidR="00D638CD" w:rsidRPr="00D91ABA" w:rsidRDefault="00D638CD" w:rsidP="007C05E7">
      <w:pPr>
        <w:pStyle w:val="ADMETreferences"/>
        <w:rPr>
          <w:noProof/>
        </w:rPr>
      </w:pPr>
      <w:r w:rsidRPr="00D91ABA">
        <w:rPr>
          <w:noProof/>
        </w:rPr>
        <w:t>L. Luo</w:t>
      </w:r>
      <w:r w:rsidR="007C05E7">
        <w:rPr>
          <w:noProof/>
        </w:rPr>
        <w:t>, A. Patel, B. Sinko, M. Bell, J. Wibawa, J. Hadgraft, M.E. Lane</w:t>
      </w:r>
      <w:r w:rsidRPr="00D91ABA">
        <w:rPr>
          <w:i/>
          <w:iCs/>
          <w:noProof/>
        </w:rPr>
        <w:t>.</w:t>
      </w:r>
      <w:r w:rsidR="00567B9D">
        <w:rPr>
          <w:noProof/>
        </w:rPr>
        <w:t xml:space="preserve"> </w:t>
      </w:r>
      <w:r w:rsidRPr="00D91ABA">
        <w:rPr>
          <w:noProof/>
        </w:rPr>
        <w:t>A comparative study of the in vitro permeation of ibuprofen in mammalian skin, the PAMPA model and silicone membrane</w:t>
      </w:r>
      <w:r w:rsidR="00567B9D">
        <w:rPr>
          <w:noProof/>
        </w:rPr>
        <w:t>.</w:t>
      </w:r>
      <w:r w:rsidRPr="00D91ABA">
        <w:rPr>
          <w:noProof/>
        </w:rPr>
        <w:t xml:space="preserve"> </w:t>
      </w:r>
      <w:r w:rsidRPr="00D91ABA">
        <w:rPr>
          <w:i/>
          <w:iCs/>
          <w:noProof/>
        </w:rPr>
        <w:t>Int. J. Pharm.</w:t>
      </w:r>
      <w:r w:rsidR="00567B9D">
        <w:rPr>
          <w:noProof/>
        </w:rPr>
        <w:t xml:space="preserve"> </w:t>
      </w:r>
      <w:r w:rsidRPr="008C2E28">
        <w:rPr>
          <w:b/>
          <w:noProof/>
        </w:rPr>
        <w:t>505</w:t>
      </w:r>
      <w:r w:rsidRPr="00D91ABA">
        <w:rPr>
          <w:noProof/>
        </w:rPr>
        <w:t xml:space="preserve"> </w:t>
      </w:r>
      <w:r w:rsidR="00FA0130">
        <w:rPr>
          <w:noProof/>
        </w:rPr>
        <w:t xml:space="preserve">(2016) </w:t>
      </w:r>
      <w:r w:rsidRPr="00D91ABA">
        <w:rPr>
          <w:noProof/>
        </w:rPr>
        <w:t>14–19.</w:t>
      </w:r>
    </w:p>
    <w:p w14:paraId="3A92D2CA" w14:textId="5A8B810D" w:rsidR="00D638CD" w:rsidRPr="00D91ABA" w:rsidRDefault="00D638CD" w:rsidP="00567B9D">
      <w:pPr>
        <w:pStyle w:val="ADMETreferences"/>
        <w:rPr>
          <w:noProof/>
        </w:rPr>
      </w:pPr>
      <w:r w:rsidRPr="00D91ABA">
        <w:rPr>
          <w:noProof/>
        </w:rPr>
        <w:t>G. Vizserálek</w:t>
      </w:r>
      <w:r w:rsidR="00567B9D">
        <w:rPr>
          <w:noProof/>
        </w:rPr>
        <w:t>, S. Berko, G. Toth, R. Balogh, M. Budai-Szucs, E. Csanyi, B. Sinko,</w:t>
      </w:r>
      <w:r w:rsidRPr="00D91ABA">
        <w:rPr>
          <w:noProof/>
        </w:rPr>
        <w:t xml:space="preserve"> </w:t>
      </w:r>
      <w:r w:rsidR="00567B9D" w:rsidRPr="00567B9D">
        <w:rPr>
          <w:i/>
          <w:iCs/>
          <w:noProof/>
        </w:rPr>
        <w:t xml:space="preserve">K. </w:t>
      </w:r>
      <w:r w:rsidR="00567B9D" w:rsidRPr="00567B9D">
        <w:rPr>
          <w:iCs/>
          <w:noProof/>
        </w:rPr>
        <w:t>Takács-Novák</w:t>
      </w:r>
      <w:r w:rsidR="00567B9D" w:rsidRPr="00567B9D">
        <w:rPr>
          <w:i/>
          <w:iCs/>
          <w:noProof/>
        </w:rPr>
        <w:t xml:space="preserve">. </w:t>
      </w:r>
      <w:r w:rsidR="00567B9D">
        <w:rPr>
          <w:noProof/>
        </w:rPr>
        <w:t xml:space="preserve"> </w:t>
      </w:r>
      <w:r w:rsidRPr="00D91ABA">
        <w:rPr>
          <w:noProof/>
        </w:rPr>
        <w:t>Permeability test for transdermal and local therapeutic patches using Skin PAMPA method</w:t>
      </w:r>
      <w:r w:rsidR="00567B9D">
        <w:rPr>
          <w:noProof/>
        </w:rPr>
        <w:t>.</w:t>
      </w:r>
      <w:r w:rsidRPr="00D91ABA">
        <w:rPr>
          <w:noProof/>
        </w:rPr>
        <w:t xml:space="preserve"> </w:t>
      </w:r>
      <w:r w:rsidRPr="00D91ABA">
        <w:rPr>
          <w:i/>
          <w:iCs/>
          <w:noProof/>
        </w:rPr>
        <w:t>Eur. J. Pharm. Sci.</w:t>
      </w:r>
      <w:r w:rsidR="00567B9D">
        <w:rPr>
          <w:noProof/>
        </w:rPr>
        <w:t xml:space="preserve"> </w:t>
      </w:r>
      <w:r w:rsidRPr="008C2E28">
        <w:rPr>
          <w:b/>
          <w:noProof/>
        </w:rPr>
        <w:t>76</w:t>
      </w:r>
      <w:r w:rsidRPr="00D91ABA">
        <w:rPr>
          <w:noProof/>
        </w:rPr>
        <w:t xml:space="preserve"> </w:t>
      </w:r>
      <w:r w:rsidR="00FA0130">
        <w:rPr>
          <w:noProof/>
        </w:rPr>
        <w:t xml:space="preserve">(2015) </w:t>
      </w:r>
      <w:r w:rsidRPr="00D91ABA">
        <w:rPr>
          <w:noProof/>
        </w:rPr>
        <w:t>165–172.</w:t>
      </w:r>
    </w:p>
    <w:p w14:paraId="2DAD6FD1" w14:textId="579B92A6" w:rsidR="00D638CD" w:rsidRPr="00D91ABA" w:rsidRDefault="00D638CD" w:rsidP="007C05E7">
      <w:pPr>
        <w:pStyle w:val="ADMETreferences"/>
        <w:rPr>
          <w:noProof/>
        </w:rPr>
      </w:pPr>
      <w:r w:rsidRPr="00D91ABA">
        <w:rPr>
          <w:noProof/>
        </w:rPr>
        <w:t>A. Avdeef, P. E. Nielsen, O. Tsinman</w:t>
      </w:r>
      <w:r w:rsidR="00567B9D">
        <w:rPr>
          <w:noProof/>
        </w:rPr>
        <w:t xml:space="preserve">. </w:t>
      </w:r>
      <w:r w:rsidRPr="00D91ABA">
        <w:rPr>
          <w:noProof/>
        </w:rPr>
        <w:t>PAMPA-A drug absorption in vitro model 11. Matching the in vivo unstirred water layer thickness by individual-well stirring in microtitre plates</w:t>
      </w:r>
      <w:r w:rsidR="00567B9D">
        <w:rPr>
          <w:noProof/>
        </w:rPr>
        <w:t>.</w:t>
      </w:r>
      <w:r w:rsidRPr="00D91ABA">
        <w:rPr>
          <w:noProof/>
        </w:rPr>
        <w:t xml:space="preserve"> </w:t>
      </w:r>
      <w:r w:rsidRPr="00D91ABA">
        <w:rPr>
          <w:i/>
          <w:iCs/>
          <w:noProof/>
        </w:rPr>
        <w:t>Eur. J. Pharm. Sci.</w:t>
      </w:r>
      <w:r w:rsidR="00567B9D">
        <w:rPr>
          <w:noProof/>
        </w:rPr>
        <w:t xml:space="preserve"> </w:t>
      </w:r>
      <w:r w:rsidRPr="008C2E28">
        <w:rPr>
          <w:b/>
          <w:noProof/>
        </w:rPr>
        <w:t>22</w:t>
      </w:r>
      <w:r w:rsidRPr="00D91ABA">
        <w:rPr>
          <w:noProof/>
        </w:rPr>
        <w:t xml:space="preserve"> </w:t>
      </w:r>
      <w:r w:rsidR="00FA0130">
        <w:rPr>
          <w:noProof/>
        </w:rPr>
        <w:t xml:space="preserve">(2004) </w:t>
      </w:r>
      <w:r w:rsidRPr="00D91ABA">
        <w:rPr>
          <w:noProof/>
        </w:rPr>
        <w:t>365–374.</w:t>
      </w:r>
    </w:p>
    <w:p w14:paraId="71A775FF" w14:textId="2F3D8DFD" w:rsidR="00D638CD" w:rsidRPr="00D91ABA" w:rsidRDefault="00D638CD" w:rsidP="007C05E7">
      <w:pPr>
        <w:pStyle w:val="ADMETreferences"/>
        <w:rPr>
          <w:noProof/>
        </w:rPr>
      </w:pPr>
      <w:r w:rsidRPr="00D91ABA">
        <w:rPr>
          <w:noProof/>
        </w:rPr>
        <w:t>R. Lieckfeldt, J. Villalaín, J. C. Gómez-Fernández, G. Lee</w:t>
      </w:r>
      <w:r w:rsidR="00567B9D">
        <w:rPr>
          <w:noProof/>
        </w:rPr>
        <w:t xml:space="preserve">. </w:t>
      </w:r>
      <w:r w:rsidRPr="00D91ABA">
        <w:rPr>
          <w:noProof/>
        </w:rPr>
        <w:t>Apparent pKa of the fatty acids within ordered mixtures of model human stratum corneum lipids</w:t>
      </w:r>
      <w:r w:rsidR="00567B9D">
        <w:rPr>
          <w:noProof/>
        </w:rPr>
        <w:t>.</w:t>
      </w:r>
      <w:r w:rsidRPr="00D91ABA">
        <w:rPr>
          <w:noProof/>
        </w:rPr>
        <w:t xml:space="preserve"> </w:t>
      </w:r>
      <w:r w:rsidRPr="00D91ABA">
        <w:rPr>
          <w:i/>
          <w:iCs/>
          <w:noProof/>
        </w:rPr>
        <w:t>Pharm. Res.</w:t>
      </w:r>
      <w:r w:rsidR="00567B9D">
        <w:rPr>
          <w:noProof/>
        </w:rPr>
        <w:t xml:space="preserve"> </w:t>
      </w:r>
      <w:r w:rsidRPr="008C2E28">
        <w:rPr>
          <w:b/>
          <w:noProof/>
        </w:rPr>
        <w:t>12</w:t>
      </w:r>
      <w:r w:rsidR="008C2E28">
        <w:rPr>
          <w:b/>
          <w:noProof/>
        </w:rPr>
        <w:t xml:space="preserve"> </w:t>
      </w:r>
      <w:r w:rsidR="00FA0130" w:rsidRPr="00FA0130">
        <w:rPr>
          <w:noProof/>
        </w:rPr>
        <w:t>(1995)</w:t>
      </w:r>
      <w:r w:rsidR="00FA0130">
        <w:rPr>
          <w:b/>
          <w:noProof/>
        </w:rPr>
        <w:t xml:space="preserve"> </w:t>
      </w:r>
      <w:r w:rsidR="00FA0130">
        <w:rPr>
          <w:noProof/>
        </w:rPr>
        <w:t>1614–1617</w:t>
      </w:r>
      <w:r w:rsidRPr="00D91ABA">
        <w:rPr>
          <w:noProof/>
        </w:rPr>
        <w:t>.</w:t>
      </w:r>
    </w:p>
    <w:p w14:paraId="4066A602" w14:textId="1EB672D0" w:rsidR="00D638CD" w:rsidRPr="00D91ABA" w:rsidRDefault="00D638CD" w:rsidP="007C05E7">
      <w:pPr>
        <w:pStyle w:val="ADMETreferences"/>
        <w:rPr>
          <w:noProof/>
        </w:rPr>
      </w:pPr>
      <w:r w:rsidRPr="00D91ABA">
        <w:rPr>
          <w:noProof/>
        </w:rPr>
        <w:t>A. Avdeef</w:t>
      </w:r>
      <w:r w:rsidR="00567B9D">
        <w:rPr>
          <w:noProof/>
        </w:rPr>
        <w:t>.</w:t>
      </w:r>
      <w:r w:rsidRPr="00D91ABA">
        <w:rPr>
          <w:noProof/>
        </w:rPr>
        <w:t xml:space="preserve"> </w:t>
      </w:r>
      <w:r w:rsidRPr="00D91ABA">
        <w:rPr>
          <w:i/>
          <w:iCs/>
          <w:noProof/>
        </w:rPr>
        <w:t>Absorption and Drug Development: Solubility, Permeability, and Charge State</w:t>
      </w:r>
      <w:r w:rsidR="008C2E28">
        <w:rPr>
          <w:i/>
          <w:iCs/>
          <w:noProof/>
        </w:rPr>
        <w:t>.</w:t>
      </w:r>
      <w:r w:rsidRPr="00D91ABA">
        <w:rPr>
          <w:noProof/>
        </w:rPr>
        <w:t xml:space="preserve"> 2nd ed. John Wiley &amp; Sons, Inc., 2012.</w:t>
      </w:r>
    </w:p>
    <w:p w14:paraId="3CFB63A2" w14:textId="3C9DD59A" w:rsidR="00D638CD" w:rsidRPr="00D91ABA" w:rsidRDefault="00D638CD" w:rsidP="007C05E7">
      <w:pPr>
        <w:pStyle w:val="ADMETreferences"/>
        <w:rPr>
          <w:noProof/>
        </w:rPr>
      </w:pPr>
      <w:r w:rsidRPr="00D91ABA">
        <w:rPr>
          <w:noProof/>
        </w:rPr>
        <w:t>K. Zhang, M. H. Abraham, X. Liu</w:t>
      </w:r>
      <w:r w:rsidR="00567B9D">
        <w:rPr>
          <w:noProof/>
        </w:rPr>
        <w:t xml:space="preserve">. </w:t>
      </w:r>
      <w:r w:rsidRPr="00D91ABA">
        <w:rPr>
          <w:noProof/>
        </w:rPr>
        <w:t>An equation for the prediction of human skin permeability of neutral molecules, ions and ionic species</w:t>
      </w:r>
      <w:r w:rsidR="00567B9D">
        <w:rPr>
          <w:noProof/>
        </w:rPr>
        <w:t>.</w:t>
      </w:r>
      <w:r w:rsidRPr="00D91ABA">
        <w:rPr>
          <w:noProof/>
        </w:rPr>
        <w:t xml:space="preserve"> </w:t>
      </w:r>
      <w:r w:rsidRPr="00D91ABA">
        <w:rPr>
          <w:i/>
          <w:iCs/>
          <w:noProof/>
        </w:rPr>
        <w:t>Int. J. Pharm.</w:t>
      </w:r>
      <w:r w:rsidR="00567B9D">
        <w:rPr>
          <w:noProof/>
        </w:rPr>
        <w:t xml:space="preserve"> </w:t>
      </w:r>
      <w:r w:rsidRPr="008C2E28">
        <w:rPr>
          <w:b/>
          <w:noProof/>
        </w:rPr>
        <w:t>521</w:t>
      </w:r>
      <w:r w:rsidR="008C2E28">
        <w:rPr>
          <w:noProof/>
        </w:rPr>
        <w:t xml:space="preserve"> </w:t>
      </w:r>
      <w:r w:rsidR="00FA0130">
        <w:rPr>
          <w:noProof/>
        </w:rPr>
        <w:t xml:space="preserve">(2017) </w:t>
      </w:r>
      <w:r w:rsidRPr="00D91ABA">
        <w:rPr>
          <w:noProof/>
        </w:rPr>
        <w:t>259–266.</w:t>
      </w:r>
    </w:p>
    <w:p w14:paraId="4F57A46E" w14:textId="4CA49609" w:rsidR="00D638CD" w:rsidRPr="00D91ABA" w:rsidRDefault="00D638CD" w:rsidP="007C05E7">
      <w:pPr>
        <w:pStyle w:val="ADMETreferences"/>
        <w:rPr>
          <w:noProof/>
        </w:rPr>
      </w:pPr>
      <w:r w:rsidRPr="00D91ABA">
        <w:rPr>
          <w:noProof/>
        </w:rPr>
        <w:t>Bio-Loom, 2017. BioByte Corp. Claremont, CA, USA.</w:t>
      </w:r>
      <w:r w:rsidR="0040666F">
        <w:rPr>
          <w:noProof/>
        </w:rPr>
        <w:t xml:space="preserve"> </w:t>
      </w:r>
      <w:hyperlink r:id="rId18" w:history="1">
        <w:r w:rsidR="0040666F" w:rsidRPr="0040666F">
          <w:rPr>
            <w:rStyle w:val="Hyperlink"/>
            <w:noProof/>
          </w:rPr>
          <w:t>http://www.biobyte.com</w:t>
        </w:r>
      </w:hyperlink>
      <w:r w:rsidRPr="00D91ABA">
        <w:rPr>
          <w:noProof/>
        </w:rPr>
        <w:t>.</w:t>
      </w:r>
      <w:r w:rsidR="0040666F">
        <w:rPr>
          <w:noProof/>
        </w:rPr>
        <w:t xml:space="preserve"> Date accessed: February 17, 2020. </w:t>
      </w:r>
    </w:p>
    <w:p w14:paraId="704BFC9B" w14:textId="0F0A15A1" w:rsidR="00D638CD" w:rsidRPr="00D91ABA" w:rsidRDefault="00D638CD" w:rsidP="007C05E7">
      <w:pPr>
        <w:pStyle w:val="ADMETreferences"/>
        <w:rPr>
          <w:noProof/>
        </w:rPr>
      </w:pPr>
      <w:r w:rsidRPr="00D91ABA">
        <w:rPr>
          <w:noProof/>
        </w:rPr>
        <w:t xml:space="preserve">ACD/Percepta, </w:t>
      </w:r>
      <w:hyperlink r:id="rId19" w:history="1">
        <w:r w:rsidRPr="0040666F">
          <w:rPr>
            <w:rStyle w:val="Hyperlink"/>
            <w:noProof/>
          </w:rPr>
          <w:t>www.acdlabs.com</w:t>
        </w:r>
      </w:hyperlink>
      <w:r w:rsidRPr="00D91ABA">
        <w:rPr>
          <w:noProof/>
        </w:rPr>
        <w:t>, Advanced Chemistry Development, Inc., Release (Build 2726, 5 359 May 2014).</w:t>
      </w:r>
    </w:p>
    <w:p w14:paraId="2E26AEAF" w14:textId="18B07B12" w:rsidR="00D638CD" w:rsidRPr="00D91ABA" w:rsidRDefault="00D638CD" w:rsidP="007C05E7">
      <w:pPr>
        <w:pStyle w:val="ADMETreferences"/>
        <w:rPr>
          <w:noProof/>
        </w:rPr>
      </w:pPr>
      <w:r w:rsidRPr="00D91ABA">
        <w:rPr>
          <w:noProof/>
        </w:rPr>
        <w:t>J. M. Cabot, E. Fuguet, M. Rosés</w:t>
      </w:r>
      <w:r w:rsidR="00567B9D">
        <w:rPr>
          <w:noProof/>
        </w:rPr>
        <w:t xml:space="preserve">. </w:t>
      </w:r>
      <w:r w:rsidRPr="00D91ABA">
        <w:rPr>
          <w:noProof/>
        </w:rPr>
        <w:t>Determination of acidity constants of sparingly soluble drugs in aqueous solution by the internal standard capillary electrophoresis method</w:t>
      </w:r>
      <w:r w:rsidR="00567B9D">
        <w:rPr>
          <w:noProof/>
        </w:rPr>
        <w:t>.</w:t>
      </w:r>
      <w:r w:rsidRPr="00D91ABA">
        <w:rPr>
          <w:noProof/>
        </w:rPr>
        <w:t xml:space="preserve"> </w:t>
      </w:r>
      <w:r w:rsidRPr="00D91ABA">
        <w:rPr>
          <w:i/>
          <w:iCs/>
          <w:noProof/>
        </w:rPr>
        <w:t>Electrophoresis</w:t>
      </w:r>
      <w:r w:rsidR="00567B9D">
        <w:rPr>
          <w:noProof/>
        </w:rPr>
        <w:t xml:space="preserve"> </w:t>
      </w:r>
      <w:r w:rsidRPr="008C2E28">
        <w:rPr>
          <w:b/>
          <w:noProof/>
        </w:rPr>
        <w:t>35</w:t>
      </w:r>
      <w:r w:rsidRPr="00D91ABA">
        <w:rPr>
          <w:noProof/>
        </w:rPr>
        <w:t xml:space="preserve"> </w:t>
      </w:r>
      <w:r w:rsidR="00FA0130">
        <w:rPr>
          <w:noProof/>
        </w:rPr>
        <w:t xml:space="preserve">(2014) </w:t>
      </w:r>
      <w:r w:rsidRPr="00D91ABA">
        <w:rPr>
          <w:noProof/>
        </w:rPr>
        <w:t>3564–3569.</w:t>
      </w:r>
    </w:p>
    <w:p w14:paraId="1D084A77" w14:textId="32991F66" w:rsidR="00D638CD" w:rsidRPr="00D91ABA" w:rsidRDefault="00D638CD" w:rsidP="007C05E7">
      <w:pPr>
        <w:pStyle w:val="ADMETreferences"/>
        <w:rPr>
          <w:noProof/>
        </w:rPr>
      </w:pPr>
      <w:r w:rsidRPr="00D91ABA">
        <w:rPr>
          <w:noProof/>
        </w:rPr>
        <w:t>H. Wan</w:t>
      </w:r>
      <w:r w:rsidR="00567B9D">
        <w:rPr>
          <w:noProof/>
        </w:rPr>
        <w:t>, A.G. Holmen, Y. Wang, W. Lindberg, M. Englund, M.B. Nagard, R.A. Thompson</w:t>
      </w:r>
      <w:r w:rsidRPr="00D91ABA">
        <w:rPr>
          <w:i/>
          <w:iCs/>
          <w:noProof/>
        </w:rPr>
        <w:t>.</w:t>
      </w:r>
      <w:r w:rsidR="00567B9D">
        <w:rPr>
          <w:noProof/>
        </w:rPr>
        <w:t xml:space="preserve"> </w:t>
      </w:r>
      <w:r w:rsidRPr="00D91ABA">
        <w:rPr>
          <w:noProof/>
        </w:rPr>
        <w:t>High-throughput screening of pKa values of pharmaceuticals by pressure-assisted capillary electrophoresis and mass spectrometry</w:t>
      </w:r>
      <w:r w:rsidR="00567B9D">
        <w:rPr>
          <w:noProof/>
        </w:rPr>
        <w:t>.</w:t>
      </w:r>
      <w:r w:rsidRPr="00D91ABA">
        <w:rPr>
          <w:noProof/>
        </w:rPr>
        <w:t xml:space="preserve"> </w:t>
      </w:r>
      <w:r w:rsidRPr="00D91ABA">
        <w:rPr>
          <w:i/>
          <w:iCs/>
          <w:noProof/>
        </w:rPr>
        <w:t>Rapid Commun. Mass Spectrom.</w:t>
      </w:r>
      <w:r w:rsidR="00567B9D">
        <w:rPr>
          <w:noProof/>
        </w:rPr>
        <w:t xml:space="preserve"> </w:t>
      </w:r>
      <w:r w:rsidRPr="008C2E28">
        <w:rPr>
          <w:b/>
          <w:noProof/>
        </w:rPr>
        <w:t>17</w:t>
      </w:r>
      <w:r w:rsidR="008C2E28">
        <w:rPr>
          <w:b/>
          <w:noProof/>
        </w:rPr>
        <w:t xml:space="preserve"> </w:t>
      </w:r>
      <w:r w:rsidR="00FA0130" w:rsidRPr="00FA0130">
        <w:rPr>
          <w:noProof/>
        </w:rPr>
        <w:t>(2003)</w:t>
      </w:r>
      <w:r w:rsidR="00FA0130">
        <w:rPr>
          <w:b/>
          <w:noProof/>
        </w:rPr>
        <w:t xml:space="preserve"> </w:t>
      </w:r>
      <w:r w:rsidR="00FA0130">
        <w:rPr>
          <w:noProof/>
        </w:rPr>
        <w:t>2639–2648</w:t>
      </w:r>
      <w:r w:rsidRPr="00D91ABA">
        <w:rPr>
          <w:noProof/>
        </w:rPr>
        <w:t>.</w:t>
      </w:r>
    </w:p>
    <w:p w14:paraId="621D775E" w14:textId="08B25251" w:rsidR="00D638CD" w:rsidRDefault="00D638CD" w:rsidP="007C05E7">
      <w:pPr>
        <w:pStyle w:val="ADMETreferences"/>
        <w:rPr>
          <w:noProof/>
        </w:rPr>
      </w:pPr>
      <w:r w:rsidRPr="00D91ABA">
        <w:rPr>
          <w:noProof/>
        </w:rPr>
        <w:t>A. Port</w:t>
      </w:r>
      <w:r w:rsidR="00567B9D">
        <w:rPr>
          <w:noProof/>
        </w:rPr>
        <w:t>, M. Bordas, R. Enrech, R. Pascual, M. Roses, C. Rafols, X. Subirats, E. Bosch</w:t>
      </w:r>
      <w:r w:rsidRPr="00D91ABA">
        <w:rPr>
          <w:i/>
          <w:iCs/>
          <w:noProof/>
        </w:rPr>
        <w:t>.</w:t>
      </w:r>
      <w:r w:rsidR="00567B9D">
        <w:rPr>
          <w:noProof/>
        </w:rPr>
        <w:t xml:space="preserve"> </w:t>
      </w:r>
      <w:r w:rsidRPr="00D91ABA">
        <w:rPr>
          <w:noProof/>
        </w:rPr>
        <w:t>Critical comparison of shake-flask, potentiometric and chromatographic methods for lipophilicity evaluation (log Po/w) of neutral, acidic, basic, amphoteric, and zwitterionic drugs</w:t>
      </w:r>
      <w:r w:rsidR="00567B9D">
        <w:rPr>
          <w:noProof/>
        </w:rPr>
        <w:t>.</w:t>
      </w:r>
      <w:r w:rsidRPr="00D91ABA">
        <w:rPr>
          <w:noProof/>
        </w:rPr>
        <w:t xml:space="preserve"> </w:t>
      </w:r>
      <w:r w:rsidRPr="00D91ABA">
        <w:rPr>
          <w:i/>
          <w:iCs/>
          <w:noProof/>
        </w:rPr>
        <w:t>Eur. J. Pharm. Sci.</w:t>
      </w:r>
      <w:r w:rsidR="00567B9D">
        <w:rPr>
          <w:noProof/>
        </w:rPr>
        <w:t xml:space="preserve"> </w:t>
      </w:r>
      <w:r w:rsidRPr="008C2E28">
        <w:rPr>
          <w:b/>
          <w:noProof/>
        </w:rPr>
        <w:t>122</w:t>
      </w:r>
      <w:r w:rsidR="008C2E28">
        <w:rPr>
          <w:noProof/>
        </w:rPr>
        <w:t xml:space="preserve"> </w:t>
      </w:r>
      <w:r w:rsidR="00FA0130">
        <w:rPr>
          <w:noProof/>
        </w:rPr>
        <w:t xml:space="preserve">(2018) </w:t>
      </w:r>
      <w:r w:rsidRPr="00D91ABA">
        <w:rPr>
          <w:noProof/>
        </w:rPr>
        <w:t>331–340.</w:t>
      </w:r>
    </w:p>
    <w:p w14:paraId="29BC3D6C" w14:textId="77777777" w:rsidR="008D4DAD" w:rsidRPr="00D91ABA" w:rsidRDefault="008D4DAD" w:rsidP="008D4DAD">
      <w:pPr>
        <w:pStyle w:val="ADMETreferences"/>
        <w:rPr>
          <w:noProof/>
        </w:rPr>
      </w:pPr>
      <w:r w:rsidRPr="00D91ABA">
        <w:rPr>
          <w:noProof/>
        </w:rPr>
        <w:t>S. Soriano-Meseguer, E. Fuguet, A. Port, M. Rosés</w:t>
      </w:r>
      <w:r>
        <w:rPr>
          <w:noProof/>
        </w:rPr>
        <w:t xml:space="preserve">. </w:t>
      </w:r>
      <w:r w:rsidRPr="00D91ABA">
        <w:rPr>
          <w:noProof/>
        </w:rPr>
        <w:t>Estimation of skin permeation by liquid chromatography</w:t>
      </w:r>
      <w:r>
        <w:rPr>
          <w:noProof/>
        </w:rPr>
        <w:t>.</w:t>
      </w:r>
      <w:r w:rsidRPr="00D91ABA">
        <w:rPr>
          <w:noProof/>
        </w:rPr>
        <w:t xml:space="preserve"> </w:t>
      </w:r>
      <w:r w:rsidRPr="00D91ABA">
        <w:rPr>
          <w:i/>
          <w:iCs/>
          <w:noProof/>
        </w:rPr>
        <w:t>ADMET DMPK</w:t>
      </w:r>
      <w:r>
        <w:rPr>
          <w:noProof/>
        </w:rPr>
        <w:t xml:space="preserve"> </w:t>
      </w:r>
      <w:r w:rsidRPr="008C2E28">
        <w:rPr>
          <w:b/>
          <w:noProof/>
        </w:rPr>
        <w:t>6</w:t>
      </w:r>
      <w:r w:rsidRPr="00D91ABA">
        <w:rPr>
          <w:noProof/>
        </w:rPr>
        <w:t xml:space="preserve"> </w:t>
      </w:r>
      <w:r>
        <w:rPr>
          <w:noProof/>
        </w:rPr>
        <w:t xml:space="preserve"> (2018) </w:t>
      </w:r>
      <w:r w:rsidRPr="00D91ABA">
        <w:rPr>
          <w:noProof/>
        </w:rPr>
        <w:t>140</w:t>
      </w:r>
      <w:r>
        <w:rPr>
          <w:noProof/>
        </w:rPr>
        <w:t>-152</w:t>
      </w:r>
      <w:r w:rsidRPr="00D91ABA">
        <w:rPr>
          <w:noProof/>
        </w:rPr>
        <w:t>.</w:t>
      </w:r>
    </w:p>
    <w:p w14:paraId="3A2D5A9C" w14:textId="77777777" w:rsidR="001F1E88" w:rsidRDefault="001F1E88" w:rsidP="001F1E88">
      <w:pPr>
        <w:pStyle w:val="ADMETreferences"/>
        <w:numPr>
          <w:ilvl w:val="0"/>
          <w:numId w:val="0"/>
        </w:numPr>
        <w:ind w:left="720" w:hanging="360"/>
        <w:rPr>
          <w:noProof/>
        </w:rPr>
      </w:pPr>
    </w:p>
    <w:p w14:paraId="78F9F19A" w14:textId="77777777" w:rsidR="001F1E88" w:rsidRDefault="001F1E88" w:rsidP="001F1E88">
      <w:pPr>
        <w:pStyle w:val="ADMETreferences"/>
        <w:numPr>
          <w:ilvl w:val="0"/>
          <w:numId w:val="0"/>
        </w:numPr>
        <w:ind w:left="720" w:hanging="360"/>
        <w:rPr>
          <w:noProof/>
        </w:rPr>
      </w:pPr>
    </w:p>
    <w:p w14:paraId="77C40129" w14:textId="77777777" w:rsidR="001F1E88" w:rsidRDefault="001F1E88" w:rsidP="001F1E88">
      <w:pPr>
        <w:pStyle w:val="ADMETreferences"/>
        <w:numPr>
          <w:ilvl w:val="0"/>
          <w:numId w:val="0"/>
        </w:numPr>
        <w:tabs>
          <w:tab w:val="clear" w:pos="180"/>
        </w:tabs>
        <w:ind w:left="720" w:hanging="360"/>
        <w:rPr>
          <w:noProof/>
        </w:rPr>
      </w:pPr>
    </w:p>
    <w:p w14:paraId="3F87A452" w14:textId="77777777" w:rsidR="009A42DA" w:rsidRDefault="009A42DA" w:rsidP="001F1E88">
      <w:pPr>
        <w:pStyle w:val="ADMETreferences"/>
        <w:numPr>
          <w:ilvl w:val="0"/>
          <w:numId w:val="0"/>
        </w:numPr>
        <w:tabs>
          <w:tab w:val="clear" w:pos="180"/>
        </w:tabs>
        <w:ind w:left="720" w:hanging="360"/>
        <w:rPr>
          <w:noProof/>
        </w:rPr>
      </w:pPr>
    </w:p>
    <w:p w14:paraId="51B7A725" w14:textId="77777777" w:rsidR="009A42DA" w:rsidRPr="00D91ABA" w:rsidRDefault="009A42DA" w:rsidP="001F1E88">
      <w:pPr>
        <w:pStyle w:val="ADMETreferences"/>
        <w:numPr>
          <w:ilvl w:val="0"/>
          <w:numId w:val="0"/>
        </w:numPr>
        <w:tabs>
          <w:tab w:val="clear" w:pos="180"/>
        </w:tabs>
        <w:ind w:left="720" w:hanging="360"/>
        <w:rPr>
          <w:noProof/>
        </w:rPr>
      </w:pPr>
    </w:p>
    <w:p w14:paraId="478AE1C0" w14:textId="2EE216D1" w:rsidR="004D1F27" w:rsidRPr="00D91ABA" w:rsidRDefault="00067FDC" w:rsidP="007C05E7">
      <w:pPr>
        <w:pStyle w:val="ADMETreferences"/>
        <w:numPr>
          <w:ilvl w:val="0"/>
          <w:numId w:val="0"/>
        </w:numPr>
        <w:ind w:left="720"/>
        <w:rPr>
          <w:szCs w:val="18"/>
          <w:lang w:val="en-GB" w:eastAsia="en-US"/>
        </w:rPr>
      </w:pPr>
      <w:r w:rsidRPr="00D91ABA">
        <w:rPr>
          <w:szCs w:val="18"/>
          <w:lang w:val="en-GB" w:eastAsia="en-US"/>
        </w:rPr>
        <w:lastRenderedPageBreak/>
        <w:fldChar w:fldCharType="end"/>
      </w:r>
    </w:p>
    <w:p w14:paraId="2AA6C869" w14:textId="0FE10CE5" w:rsidR="00A953F3" w:rsidRPr="000615A1" w:rsidRDefault="00A953F3" w:rsidP="000615A1">
      <w:pPr>
        <w:spacing w:line="240" w:lineRule="auto"/>
        <w:jc w:val="left"/>
        <w:rPr>
          <w:b/>
          <w:lang w:val="en-GB"/>
        </w:rPr>
      </w:pPr>
      <w:bookmarkStart w:id="5" w:name="_GoBack"/>
      <w:r w:rsidRPr="000615A1">
        <w:rPr>
          <w:b/>
          <w:lang w:val="en-GB"/>
        </w:rPr>
        <w:t>Appendix</w:t>
      </w:r>
    </w:p>
    <w:bookmarkEnd w:id="5"/>
    <w:p w14:paraId="3620B323" w14:textId="77777777" w:rsidR="00A953F3" w:rsidRPr="00D91ABA" w:rsidRDefault="00A953F3" w:rsidP="001F1E88">
      <w:pPr>
        <w:pStyle w:val="ADMETtext"/>
      </w:pPr>
      <w:r w:rsidRPr="00D91ABA">
        <w:t>Equation (6) can be derived as follows for a drug equilibrated between an aqueous compartment and a membrane:</w:t>
      </w:r>
    </w:p>
    <w:p w14:paraId="4B30DF51" w14:textId="42A48202" w:rsidR="00A953F3" w:rsidRPr="00D91ABA" w:rsidRDefault="00A953F3" w:rsidP="001F1E88">
      <w:pPr>
        <w:jc w:val="center"/>
        <w:rPr>
          <w:color w:val="auto"/>
          <w:sz w:val="22"/>
          <w:szCs w:val="22"/>
          <w:lang w:eastAsia="en-US"/>
        </w:rPr>
      </w:pPr>
      <w:r w:rsidRPr="00D91ABA">
        <w:rPr>
          <w:noProof/>
          <w:color w:val="auto"/>
          <w:sz w:val="22"/>
          <w:szCs w:val="22"/>
          <w:lang w:val="en-GB" w:eastAsia="en-GB"/>
        </w:rPr>
        <w:drawing>
          <wp:inline distT="0" distB="0" distL="0" distR="0" wp14:anchorId="59285FA3" wp14:editId="7E8C3EB8">
            <wp:extent cx="3802466" cy="3334167"/>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44686" cy="3371188"/>
                    </a:xfrm>
                    <a:prstGeom prst="rect">
                      <a:avLst/>
                    </a:prstGeom>
                    <a:noFill/>
                  </pic:spPr>
                </pic:pic>
              </a:graphicData>
            </a:graphic>
          </wp:inline>
        </w:drawing>
      </w:r>
    </w:p>
    <w:p w14:paraId="3C1C59E6" w14:textId="4F5E8736" w:rsidR="00A953F3" w:rsidRPr="00D91ABA" w:rsidRDefault="00A953F3" w:rsidP="00A953F3">
      <w:pPr>
        <w:rPr>
          <w:color w:val="auto"/>
          <w:sz w:val="22"/>
          <w:szCs w:val="22"/>
          <w:lang w:eastAsia="en-US"/>
        </w:rPr>
      </w:pPr>
    </w:p>
    <w:p w14:paraId="78760BD0" w14:textId="6220818D" w:rsidR="00A953F3" w:rsidRPr="001F1E88" w:rsidRDefault="00363028" w:rsidP="001F1E88">
      <w:pPr>
        <w:ind w:left="993"/>
        <w:rPr>
          <w:color w:val="auto"/>
          <w:sz w:val="22"/>
          <w:szCs w:val="22"/>
          <w:lang w:eastAsia="en-US"/>
        </w:rPr>
      </w:pPr>
      <m:oMathPara>
        <m:oMathParaPr>
          <m:jc m:val="left"/>
        </m:oMathParaPr>
        <m:oMath>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R</m:t>
              </m:r>
            </m:e>
            <m:sub>
              <m:r>
                <m:rPr>
                  <m:sty m:val="p"/>
                </m:rPr>
                <w:rPr>
                  <w:rFonts w:ascii="Cambria Math" w:hAnsi="Cambria Math"/>
                  <w:color w:val="auto"/>
                  <w:sz w:val="22"/>
                  <w:szCs w:val="22"/>
                  <w:lang w:eastAsia="en-US"/>
                </w:rPr>
                <m:t>M</m:t>
              </m:r>
            </m:sub>
          </m:sSub>
          <m:r>
            <w:rPr>
              <w:rFonts w:ascii="Cambria Math" w:hAnsi="Cambria Math"/>
              <w:color w:val="auto"/>
              <w:sz w:val="22"/>
              <w:szCs w:val="22"/>
              <w:lang w:eastAsia="en-US"/>
            </w:rPr>
            <m:t>=</m:t>
          </m:r>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C</m:t>
                  </m:r>
                </m:e>
                <m:sub>
                  <m:r>
                    <m:rPr>
                      <m:sty m:val="p"/>
                    </m:rPr>
                    <w:rPr>
                      <w:rFonts w:ascii="Cambria Math" w:hAnsi="Cambria Math"/>
                      <w:color w:val="auto"/>
                      <w:sz w:val="22"/>
                      <w:szCs w:val="22"/>
                      <w:lang w:eastAsia="en-US"/>
                    </w:rPr>
                    <m:t>membrane</m:t>
                  </m:r>
                </m:sub>
              </m:sSub>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num>
            <m:den>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C</m:t>
                  </m:r>
                </m:e>
                <m:sub>
                  <m:r>
                    <m:rPr>
                      <m:sty m:val="p"/>
                    </m:rPr>
                    <w:rPr>
                      <w:rFonts w:ascii="Cambria Math" w:hAnsi="Cambria Math"/>
                      <w:color w:val="auto"/>
                      <w:sz w:val="22"/>
                      <w:szCs w:val="22"/>
                      <w:lang w:eastAsia="en-US"/>
                    </w:rPr>
                    <m:t>membrane</m:t>
                  </m:r>
                </m:sub>
              </m:sSub>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r>
                <w:rPr>
                  <w:rFonts w:ascii="Cambria Math" w:hAnsi="Cambria Math"/>
                  <w:color w:val="auto"/>
                  <w:sz w:val="22"/>
                  <w:szCs w:val="22"/>
                  <w:lang w:eastAsia="en-US"/>
                </w:rPr>
                <m:t>+</m:t>
              </m:r>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C</m:t>
                  </m:r>
                </m:e>
                <m:sub>
                  <m:r>
                    <m:rPr>
                      <m:sty m:val="p"/>
                    </m:rPr>
                    <w:rPr>
                      <w:rFonts w:ascii="Cambria Math" w:hAnsi="Cambria Math"/>
                      <w:color w:val="auto"/>
                      <w:sz w:val="22"/>
                      <w:szCs w:val="22"/>
                      <w:lang w:eastAsia="en-US"/>
                    </w:rPr>
                    <m:t>water</m:t>
                  </m:r>
                </m:sub>
              </m:sSub>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den>
          </m:f>
        </m:oMath>
      </m:oMathPara>
    </w:p>
    <w:p w14:paraId="7586B7E0" w14:textId="003281CB" w:rsidR="00A953F3" w:rsidRPr="00D91ABA" w:rsidRDefault="00A953F3" w:rsidP="00A953F3">
      <w:pPr>
        <w:rPr>
          <w:color w:val="auto"/>
          <w:sz w:val="22"/>
          <w:szCs w:val="22"/>
          <w:lang w:eastAsia="en-US"/>
        </w:rPr>
      </w:pPr>
    </w:p>
    <w:p w14:paraId="2CA9EFC9" w14:textId="5F22F2DE" w:rsidR="00E65A0C" w:rsidRPr="00D91ABA" w:rsidRDefault="00E65A0C" w:rsidP="00A953F3">
      <w:pPr>
        <w:rPr>
          <w:color w:val="auto"/>
          <w:sz w:val="22"/>
          <w:szCs w:val="22"/>
          <w:lang w:eastAsia="en-US"/>
        </w:rPr>
      </w:pPr>
      <w:r w:rsidRPr="00D91ABA">
        <w:rPr>
          <w:color w:val="auto"/>
          <w:sz w:val="22"/>
          <w:szCs w:val="22"/>
          <w:lang w:eastAsia="en-US"/>
        </w:rPr>
        <w:t xml:space="preserve">Therefore: </w:t>
      </w:r>
      <m:oMath>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R</m:t>
            </m:r>
          </m:e>
          <m:sub>
            <m:r>
              <m:rPr>
                <m:sty m:val="p"/>
              </m:rPr>
              <w:rPr>
                <w:rFonts w:ascii="Cambria Math" w:hAnsi="Cambria Math"/>
                <w:color w:val="auto"/>
                <w:sz w:val="22"/>
                <w:szCs w:val="22"/>
                <w:lang w:eastAsia="en-US"/>
              </w:rPr>
              <m:t>M</m:t>
            </m:r>
          </m:sub>
        </m:sSub>
        <m:r>
          <w:rPr>
            <w:rFonts w:ascii="Cambria Math" w:hAnsi="Cambria Math"/>
            <w:color w:val="auto"/>
            <w:sz w:val="22"/>
            <w:szCs w:val="22"/>
            <w:lang w:eastAsia="en-US"/>
          </w:rPr>
          <m:t>=</m:t>
        </m:r>
        <m:f>
          <m:fPr>
            <m:ctrlPr>
              <w:rPr>
                <w:rFonts w:ascii="Cambria Math" w:hAnsi="Cambria Math"/>
                <w:i/>
                <w:color w:val="auto"/>
                <w:sz w:val="22"/>
                <w:szCs w:val="22"/>
                <w:lang w:eastAsia="en-US"/>
              </w:rPr>
            </m:ctrlPr>
          </m:fPr>
          <m:num>
            <m:r>
              <w:rPr>
                <w:rFonts w:ascii="Cambria Math" w:hAnsi="Cambria Math"/>
                <w:color w:val="auto"/>
                <w:sz w:val="22"/>
                <w:szCs w:val="22"/>
                <w:lang w:eastAsia="en-US"/>
              </w:rPr>
              <m:t>1</m:t>
            </m:r>
          </m:num>
          <m:den>
            <m:r>
              <w:rPr>
                <w:rFonts w:ascii="Cambria Math" w:hAnsi="Cambria Math"/>
                <w:color w:val="auto"/>
                <w:sz w:val="22"/>
                <w:szCs w:val="22"/>
                <w:lang w:eastAsia="en-US"/>
              </w:rPr>
              <m:t>1+</m:t>
            </m:r>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C</m:t>
                    </m:r>
                  </m:e>
                  <m:sub>
                    <m:r>
                      <m:rPr>
                        <m:sty m:val="p"/>
                      </m:rPr>
                      <w:rPr>
                        <w:rFonts w:ascii="Cambria Math" w:hAnsi="Cambria Math"/>
                        <w:color w:val="auto"/>
                        <w:sz w:val="22"/>
                        <w:szCs w:val="22"/>
                        <w:lang w:eastAsia="en-US"/>
                      </w:rPr>
                      <m:t>water</m:t>
                    </m:r>
                  </m:sub>
                </m:sSub>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num>
              <m:den>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C</m:t>
                    </m:r>
                  </m:e>
                  <m:sub>
                    <m:r>
                      <m:rPr>
                        <m:sty m:val="p"/>
                      </m:rPr>
                      <w:rPr>
                        <w:rFonts w:ascii="Cambria Math" w:hAnsi="Cambria Math"/>
                        <w:color w:val="auto"/>
                        <w:sz w:val="22"/>
                        <w:szCs w:val="22"/>
                        <w:lang w:eastAsia="en-US"/>
                      </w:rPr>
                      <m:t>membrane</m:t>
                    </m:r>
                  </m:sub>
                </m:sSub>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den>
            </m:f>
          </m:den>
        </m:f>
        <m:r>
          <w:rPr>
            <w:rFonts w:ascii="Cambria Math" w:hAnsi="Cambria Math"/>
            <w:color w:val="auto"/>
            <w:sz w:val="22"/>
            <w:szCs w:val="22"/>
            <w:lang w:eastAsia="en-US"/>
          </w:rPr>
          <m:t>=</m:t>
        </m:r>
        <m:f>
          <m:fPr>
            <m:ctrlPr>
              <w:rPr>
                <w:rFonts w:ascii="Cambria Math" w:hAnsi="Cambria Math"/>
                <w:i/>
                <w:color w:val="auto"/>
                <w:sz w:val="22"/>
                <w:szCs w:val="22"/>
                <w:lang w:eastAsia="en-US"/>
              </w:rPr>
            </m:ctrlPr>
          </m:fPr>
          <m:num>
            <m:r>
              <w:rPr>
                <w:rFonts w:ascii="Cambria Math" w:hAnsi="Cambria Math"/>
                <w:color w:val="auto"/>
                <w:sz w:val="22"/>
                <w:szCs w:val="22"/>
                <w:lang w:eastAsia="en-US"/>
              </w:rPr>
              <m:t>1</m:t>
            </m:r>
          </m:num>
          <m:den>
            <m:r>
              <w:rPr>
                <w:rFonts w:ascii="Cambria Math" w:hAnsi="Cambria Math"/>
                <w:color w:val="auto"/>
                <w:sz w:val="22"/>
                <w:szCs w:val="22"/>
                <w:lang w:eastAsia="en-US"/>
              </w:rPr>
              <m:t>1+</m:t>
            </m:r>
            <m:f>
              <m:fPr>
                <m:ctrlPr>
                  <w:rPr>
                    <w:rFonts w:ascii="Cambria Math" w:hAnsi="Cambria Math"/>
                    <w:i/>
                    <w:color w:val="auto"/>
                    <w:sz w:val="22"/>
                    <w:szCs w:val="22"/>
                    <w:lang w:eastAsia="en-US"/>
                  </w:rPr>
                </m:ctrlPr>
              </m:fPr>
              <m:num>
                <m:r>
                  <w:rPr>
                    <w:rFonts w:ascii="Cambria Math" w:hAnsi="Cambria Math"/>
                    <w:color w:val="auto"/>
                    <w:sz w:val="22"/>
                    <w:szCs w:val="22"/>
                    <w:lang w:eastAsia="en-US"/>
                  </w:rPr>
                  <m:t>1</m:t>
                </m:r>
              </m:num>
              <m:den>
                <m:r>
                  <w:rPr>
                    <w:rFonts w:ascii="Cambria Math" w:hAnsi="Cambria Math"/>
                    <w:color w:val="auto"/>
                    <w:sz w:val="22"/>
                    <w:szCs w:val="22"/>
                    <w:lang w:eastAsia="en-US"/>
                  </w:rPr>
                  <m:t>D</m:t>
                </m:r>
              </m:den>
            </m:f>
            <m:r>
              <w:rPr>
                <w:rFonts w:ascii="Cambria Math" w:hAnsi="Cambria Math"/>
                <w:color w:val="auto"/>
                <w:sz w:val="22"/>
                <w:szCs w:val="22"/>
                <w:lang w:eastAsia="en-US"/>
              </w:rPr>
              <m:t xml:space="preserve"> ∙ </m:t>
            </m:r>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num>
              <m:den>
                <m:sSub>
                  <m:sSubPr>
                    <m:ctrlPr>
                      <w:rPr>
                        <w:rFonts w:ascii="Cambria Math" w:hAnsi="Cambria Math"/>
                        <w:color w:val="auto"/>
                        <w:sz w:val="22"/>
                        <w:szCs w:val="22"/>
                        <w:lang w:eastAsia="en-US"/>
                      </w:rPr>
                    </m:ctrlPr>
                  </m:sSubPr>
                  <m:e>
                    <m:r>
                      <m:rPr>
                        <m:sty m:val="p"/>
                      </m:rP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den>
            </m:f>
          </m:den>
        </m:f>
      </m:oMath>
    </w:p>
    <w:p w14:paraId="370ED9E5" w14:textId="491A6889" w:rsidR="00E65A0C" w:rsidRPr="00D91ABA" w:rsidRDefault="00E65A0C" w:rsidP="00A953F3">
      <w:pPr>
        <w:rPr>
          <w:color w:val="auto"/>
          <w:sz w:val="22"/>
          <w:szCs w:val="22"/>
          <w:lang w:eastAsia="en-US"/>
        </w:rPr>
      </w:pPr>
    </w:p>
    <w:p w14:paraId="1F851EBB" w14:textId="647391D1" w:rsidR="00A953F3" w:rsidRPr="00D91ABA" w:rsidRDefault="00E65A0C" w:rsidP="00A953F3">
      <w:pPr>
        <w:rPr>
          <w:color w:val="auto"/>
          <w:sz w:val="22"/>
          <w:szCs w:val="22"/>
          <w:lang w:eastAsia="en-US"/>
        </w:rPr>
      </w:pPr>
      <w:r w:rsidRPr="00D91ABA">
        <w:rPr>
          <w:color w:val="auto"/>
          <w:sz w:val="22"/>
          <w:szCs w:val="22"/>
          <w:lang w:eastAsia="en-US"/>
        </w:rPr>
        <w:t xml:space="preserve">Because:    </w:t>
      </w:r>
      <m:oMath>
        <m:f>
          <m:fPr>
            <m:ctrlPr>
              <w:rPr>
                <w:rFonts w:ascii="Cambria Math" w:hAnsi="Cambria Math"/>
                <w:i/>
                <w:color w:val="auto"/>
                <w:sz w:val="22"/>
                <w:szCs w:val="22"/>
                <w:lang w:eastAsia="en-US"/>
              </w:rPr>
            </m:ctrlPr>
          </m:fPr>
          <m:num>
            <m:r>
              <w:rPr>
                <w:rFonts w:ascii="Cambria Math" w:hAnsi="Cambria Math"/>
                <w:color w:val="auto"/>
                <w:sz w:val="22"/>
                <w:szCs w:val="22"/>
                <w:lang w:eastAsia="en-US"/>
              </w:rPr>
              <m:t>1</m:t>
            </m:r>
          </m:num>
          <m:den>
            <m:r>
              <w:rPr>
                <w:rFonts w:ascii="Cambria Math" w:hAnsi="Cambria Math"/>
                <w:color w:val="auto"/>
                <w:sz w:val="22"/>
                <w:szCs w:val="22"/>
                <w:lang w:eastAsia="en-US"/>
              </w:rPr>
              <m:t>D</m:t>
            </m:r>
          </m:den>
        </m:f>
        <m:r>
          <w:rPr>
            <w:rFonts w:ascii="Cambria Math" w:hAnsi="Cambria Math"/>
            <w:color w:val="auto"/>
            <w:sz w:val="22"/>
            <w:szCs w:val="22"/>
            <w:lang w:eastAsia="en-US"/>
          </w:rPr>
          <m:t>=</m:t>
        </m:r>
        <m:sSup>
          <m:sSupPr>
            <m:ctrlPr>
              <w:rPr>
                <w:rFonts w:ascii="Cambria Math" w:hAnsi="Cambria Math"/>
                <w:i/>
                <w:color w:val="auto"/>
                <w:sz w:val="22"/>
                <w:szCs w:val="22"/>
                <w:lang w:eastAsia="en-US"/>
              </w:rPr>
            </m:ctrlPr>
          </m:sSupPr>
          <m:e>
            <m:r>
              <w:rPr>
                <w:rFonts w:ascii="Cambria Math" w:hAnsi="Cambria Math"/>
                <w:color w:val="auto"/>
                <w:sz w:val="22"/>
                <w:szCs w:val="22"/>
                <w:lang w:eastAsia="en-US"/>
              </w:rPr>
              <m:t>10</m:t>
            </m:r>
          </m:e>
          <m:sup>
            <m:r>
              <w:rPr>
                <w:rFonts w:ascii="Cambria Math" w:hAnsi="Cambria Math"/>
                <w:color w:val="auto"/>
                <w:sz w:val="22"/>
                <w:szCs w:val="22"/>
                <w:lang w:eastAsia="en-US"/>
              </w:rPr>
              <m:t>-</m:t>
            </m:r>
            <m:r>
              <m:rPr>
                <m:sty m:val="p"/>
              </m:rPr>
              <w:rPr>
                <w:rFonts w:ascii="Cambria Math" w:hAnsi="Cambria Math"/>
                <w:color w:val="auto"/>
                <w:sz w:val="22"/>
                <w:szCs w:val="22"/>
                <w:lang w:eastAsia="en-US"/>
              </w:rPr>
              <m:t xml:space="preserve">log </m:t>
            </m:r>
            <m:r>
              <w:rPr>
                <w:rFonts w:ascii="Cambria Math" w:hAnsi="Cambria Math"/>
                <w:color w:val="auto"/>
                <w:sz w:val="22"/>
                <w:szCs w:val="22"/>
                <w:lang w:eastAsia="en-US"/>
              </w:rPr>
              <m:t xml:space="preserve">D </m:t>
            </m:r>
          </m:sup>
        </m:sSup>
      </m:oMath>
      <w:r w:rsidRPr="00D91ABA">
        <w:rPr>
          <w:color w:val="auto"/>
          <w:sz w:val="22"/>
          <w:szCs w:val="22"/>
          <w:lang w:eastAsia="en-US"/>
        </w:rPr>
        <w:t xml:space="preserve">  and   </w:t>
      </w:r>
      <m:oMath>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num>
          <m:den>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den>
        </m:f>
        <m:r>
          <w:rPr>
            <w:rFonts w:ascii="Cambria Math" w:hAnsi="Cambria Math"/>
            <w:color w:val="auto"/>
            <w:sz w:val="22"/>
            <w:szCs w:val="22"/>
            <w:lang w:eastAsia="en-US"/>
          </w:rPr>
          <m:t>=</m:t>
        </m:r>
        <m:sSup>
          <m:sSupPr>
            <m:ctrlPr>
              <w:rPr>
                <w:rFonts w:ascii="Cambria Math" w:hAnsi="Cambria Math"/>
                <w:i/>
                <w:color w:val="auto"/>
                <w:sz w:val="22"/>
                <w:szCs w:val="22"/>
                <w:lang w:eastAsia="en-US"/>
              </w:rPr>
            </m:ctrlPr>
          </m:sSupPr>
          <m:e>
            <m:r>
              <w:rPr>
                <w:rFonts w:ascii="Cambria Math" w:hAnsi="Cambria Math"/>
                <w:color w:val="auto"/>
                <w:sz w:val="22"/>
                <w:szCs w:val="22"/>
                <w:lang w:eastAsia="en-US"/>
              </w:rPr>
              <m:t>10</m:t>
            </m:r>
          </m:e>
          <m:sup>
            <m:r>
              <m:rPr>
                <m:sty m:val="p"/>
              </m:rPr>
              <w:rPr>
                <w:rFonts w:ascii="Cambria Math" w:hAnsi="Cambria Math"/>
                <w:color w:val="auto"/>
                <w:sz w:val="22"/>
                <w:szCs w:val="22"/>
                <w:lang w:eastAsia="en-US"/>
              </w:rPr>
              <m:t>log</m:t>
            </m:r>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num>
              <m:den>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den>
            </m:f>
            <m:r>
              <w:rPr>
                <w:rFonts w:ascii="Cambria Math" w:hAnsi="Cambria Math"/>
                <w:color w:val="auto"/>
                <w:sz w:val="22"/>
                <w:szCs w:val="22"/>
                <w:lang w:eastAsia="en-US"/>
              </w:rPr>
              <m:t xml:space="preserve"> </m:t>
            </m:r>
          </m:sup>
        </m:sSup>
      </m:oMath>
    </w:p>
    <w:p w14:paraId="6EC1B419" w14:textId="53A02180" w:rsidR="00921C92" w:rsidRPr="00D91ABA" w:rsidRDefault="00921C92" w:rsidP="00A953F3">
      <w:pPr>
        <w:rPr>
          <w:color w:val="auto"/>
          <w:sz w:val="22"/>
          <w:szCs w:val="22"/>
          <w:lang w:eastAsia="en-US"/>
        </w:rPr>
      </w:pPr>
    </w:p>
    <w:p w14:paraId="41321ED1" w14:textId="07F15465" w:rsidR="00921C92" w:rsidRPr="00D91ABA" w:rsidRDefault="00363028" w:rsidP="001F1E88">
      <w:pPr>
        <w:tabs>
          <w:tab w:val="right" w:pos="9498"/>
        </w:tabs>
        <w:ind w:left="993"/>
        <w:rPr>
          <w:color w:val="auto"/>
          <w:sz w:val="22"/>
          <w:szCs w:val="22"/>
          <w:lang w:eastAsia="en-US"/>
        </w:rPr>
      </w:pPr>
      <m:oMath>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R</m:t>
            </m:r>
          </m:e>
          <m:sub>
            <m:r>
              <m:rPr>
                <m:sty m:val="p"/>
              </m:rPr>
              <w:rPr>
                <w:rFonts w:ascii="Cambria Math" w:hAnsi="Cambria Math"/>
                <w:color w:val="auto"/>
                <w:sz w:val="22"/>
                <w:szCs w:val="22"/>
                <w:lang w:eastAsia="en-US"/>
              </w:rPr>
              <m:t>M</m:t>
            </m:r>
          </m:sub>
        </m:sSub>
        <m:r>
          <w:rPr>
            <w:rFonts w:ascii="Cambria Math" w:hAnsi="Cambria Math"/>
            <w:color w:val="auto"/>
            <w:sz w:val="22"/>
            <w:szCs w:val="22"/>
            <w:lang w:eastAsia="en-US"/>
          </w:rPr>
          <m:t>=</m:t>
        </m:r>
        <m:f>
          <m:fPr>
            <m:ctrlPr>
              <w:rPr>
                <w:rFonts w:ascii="Cambria Math" w:hAnsi="Cambria Math"/>
                <w:i/>
                <w:color w:val="auto"/>
                <w:sz w:val="22"/>
                <w:szCs w:val="22"/>
                <w:lang w:eastAsia="en-US"/>
              </w:rPr>
            </m:ctrlPr>
          </m:fPr>
          <m:num>
            <m:r>
              <w:rPr>
                <w:rFonts w:ascii="Cambria Math" w:hAnsi="Cambria Math"/>
                <w:color w:val="auto"/>
                <w:sz w:val="22"/>
                <w:szCs w:val="22"/>
                <w:lang w:eastAsia="en-US"/>
              </w:rPr>
              <m:t>1</m:t>
            </m:r>
          </m:num>
          <m:den>
            <m:r>
              <w:rPr>
                <w:rFonts w:ascii="Cambria Math" w:hAnsi="Cambria Math"/>
                <w:color w:val="auto"/>
                <w:sz w:val="22"/>
                <w:szCs w:val="22"/>
                <w:lang w:eastAsia="en-US"/>
              </w:rPr>
              <m:t>1+</m:t>
            </m:r>
            <m:sSup>
              <m:sSupPr>
                <m:ctrlPr>
                  <w:rPr>
                    <w:rFonts w:ascii="Cambria Math" w:hAnsi="Cambria Math"/>
                    <w:i/>
                    <w:color w:val="auto"/>
                    <w:sz w:val="22"/>
                    <w:szCs w:val="22"/>
                    <w:lang w:eastAsia="en-US"/>
                  </w:rPr>
                </m:ctrlPr>
              </m:sSupPr>
              <m:e>
                <m:r>
                  <w:rPr>
                    <w:rFonts w:ascii="Cambria Math" w:hAnsi="Cambria Math"/>
                    <w:color w:val="auto"/>
                    <w:sz w:val="22"/>
                    <w:szCs w:val="22"/>
                    <w:lang w:eastAsia="en-US"/>
                  </w:rPr>
                  <m:t>10</m:t>
                </m:r>
              </m:e>
              <m:sup>
                <m:r>
                  <w:rPr>
                    <w:rFonts w:ascii="Cambria Math" w:hAnsi="Cambria Math"/>
                    <w:color w:val="auto"/>
                    <w:sz w:val="22"/>
                    <w:szCs w:val="22"/>
                    <w:lang w:eastAsia="en-US"/>
                  </w:rPr>
                  <m:t>-</m:t>
                </m:r>
                <m:r>
                  <m:rPr>
                    <m:sty m:val="p"/>
                  </m:rPr>
                  <w:rPr>
                    <w:rFonts w:ascii="Cambria Math" w:hAnsi="Cambria Math"/>
                    <w:color w:val="auto"/>
                    <w:sz w:val="22"/>
                    <w:szCs w:val="22"/>
                    <w:lang w:eastAsia="en-US"/>
                  </w:rPr>
                  <m:t>log</m:t>
                </m:r>
                <m:r>
                  <w:rPr>
                    <w:rFonts w:ascii="Cambria Math" w:hAnsi="Cambria Math"/>
                    <w:color w:val="auto"/>
                    <w:sz w:val="22"/>
                    <w:szCs w:val="22"/>
                    <w:lang w:eastAsia="en-US"/>
                  </w:rPr>
                  <m:t>D+</m:t>
                </m:r>
                <m:r>
                  <m:rPr>
                    <m:sty m:val="p"/>
                  </m:rPr>
                  <w:rPr>
                    <w:rFonts w:ascii="Cambria Math" w:hAnsi="Cambria Math"/>
                    <w:color w:val="auto"/>
                    <w:sz w:val="22"/>
                    <w:szCs w:val="22"/>
                    <w:lang w:eastAsia="en-US"/>
                  </w:rPr>
                  <m:t>lo</m:t>
                </m:r>
                <m:r>
                  <w:rPr>
                    <w:rFonts w:ascii="Cambria Math" w:hAnsi="Cambria Math"/>
                    <w:color w:val="auto"/>
                    <w:sz w:val="22"/>
                    <w:szCs w:val="22"/>
                    <w:lang w:eastAsia="en-US"/>
                  </w:rPr>
                  <m:t>g</m:t>
                </m:r>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num>
                  <m:den>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den>
                </m:f>
              </m:sup>
            </m:sSup>
          </m:den>
        </m:f>
        <m:r>
          <w:rPr>
            <w:rFonts w:ascii="Cambria Math" w:hAnsi="Cambria Math"/>
            <w:color w:val="auto"/>
            <w:sz w:val="22"/>
            <w:szCs w:val="22"/>
            <w:lang w:eastAsia="en-US"/>
          </w:rPr>
          <m:t xml:space="preserve"> </m:t>
        </m:r>
      </m:oMath>
      <w:r w:rsidR="00921C92" w:rsidRPr="00D91ABA">
        <w:rPr>
          <w:color w:val="auto"/>
          <w:sz w:val="22"/>
          <w:szCs w:val="22"/>
          <w:lang w:eastAsia="en-US"/>
        </w:rPr>
        <w:t xml:space="preserve">  </w:t>
      </w:r>
      <w:r w:rsidR="001F1E88">
        <w:rPr>
          <w:color w:val="auto"/>
          <w:sz w:val="22"/>
          <w:szCs w:val="22"/>
          <w:lang w:eastAsia="en-US"/>
        </w:rPr>
        <w:tab/>
      </w:r>
      <w:r w:rsidR="00921C92" w:rsidRPr="00D91ABA">
        <w:rPr>
          <w:color w:val="auto"/>
          <w:sz w:val="22"/>
          <w:szCs w:val="22"/>
          <w:lang w:eastAsia="en-US"/>
        </w:rPr>
        <w:t>(6)</w:t>
      </w:r>
    </w:p>
    <w:p w14:paraId="50F8BDAE" w14:textId="0D9DF5FF" w:rsidR="00A953F3" w:rsidRPr="00D91ABA" w:rsidRDefault="00A953F3" w:rsidP="00A953F3">
      <w:pPr>
        <w:rPr>
          <w:color w:val="auto"/>
          <w:sz w:val="22"/>
          <w:szCs w:val="22"/>
          <w:lang w:eastAsia="en-US"/>
        </w:rPr>
      </w:pPr>
    </w:p>
    <w:p w14:paraId="1A56C21C" w14:textId="0F6CACF4" w:rsidR="00A953F3" w:rsidRPr="00D91ABA" w:rsidRDefault="00A953F3" w:rsidP="001F1E88">
      <w:pPr>
        <w:pStyle w:val="ADMETtext"/>
      </w:pPr>
      <w:r w:rsidRPr="00D91ABA">
        <w:t>It should be noted that the derivation assumes that drug absorption to the filter material can be ignored. If this is not accurate then a constant can be added in order to improve the fit for less lipophilic compounds (equation 6b)</w:t>
      </w:r>
    </w:p>
    <w:p w14:paraId="147AF982" w14:textId="0F77C31A" w:rsidR="009C1ECE" w:rsidRDefault="00363028" w:rsidP="009C1ECE">
      <w:pPr>
        <w:tabs>
          <w:tab w:val="right" w:pos="9498"/>
        </w:tabs>
        <w:spacing w:before="360" w:line="240" w:lineRule="auto"/>
        <w:ind w:left="993"/>
        <w:jc w:val="left"/>
        <w:rPr>
          <w:color w:val="auto"/>
          <w:sz w:val="22"/>
          <w:szCs w:val="22"/>
          <w:lang w:eastAsia="en-US"/>
        </w:rPr>
      </w:pPr>
      <m:oMath>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R</m:t>
            </m:r>
          </m:e>
          <m:sub>
            <m:r>
              <m:rPr>
                <m:sty m:val="p"/>
              </m:rPr>
              <w:rPr>
                <w:rFonts w:ascii="Cambria Math" w:hAnsi="Cambria Math"/>
                <w:color w:val="auto"/>
                <w:sz w:val="22"/>
                <w:szCs w:val="22"/>
                <w:lang w:eastAsia="en-US"/>
              </w:rPr>
              <m:t>M</m:t>
            </m:r>
          </m:sub>
        </m:sSub>
        <m:r>
          <w:rPr>
            <w:rFonts w:ascii="Cambria Math" w:hAnsi="Cambria Math"/>
            <w:color w:val="auto"/>
            <w:sz w:val="22"/>
            <w:szCs w:val="22"/>
            <w:lang w:eastAsia="en-US"/>
          </w:rPr>
          <m:t>=</m:t>
        </m:r>
        <m:r>
          <m:rPr>
            <m:sty m:val="p"/>
          </m:rPr>
          <w:rPr>
            <w:rFonts w:ascii="Cambria Math" w:hAnsi="Cambria Math"/>
            <w:color w:val="auto"/>
            <w:sz w:val="22"/>
            <w:szCs w:val="22"/>
            <w:lang w:eastAsia="en-US"/>
          </w:rPr>
          <m:t>Constant</m:t>
        </m:r>
        <m:r>
          <w:rPr>
            <w:rFonts w:ascii="Cambria Math" w:hAnsi="Cambria Math"/>
            <w:color w:val="auto"/>
            <w:sz w:val="22"/>
            <w:szCs w:val="22"/>
            <w:lang w:eastAsia="en-US"/>
          </w:rPr>
          <m:t xml:space="preserve">+ </m:t>
        </m:r>
        <m:d>
          <m:dPr>
            <m:ctrlPr>
              <w:rPr>
                <w:rFonts w:ascii="Cambria Math" w:hAnsi="Cambria Math"/>
                <w:i/>
                <w:color w:val="auto"/>
                <w:sz w:val="22"/>
                <w:szCs w:val="22"/>
                <w:lang w:eastAsia="en-US"/>
              </w:rPr>
            </m:ctrlPr>
          </m:dPr>
          <m:e>
            <m:f>
              <m:fPr>
                <m:ctrlPr>
                  <w:rPr>
                    <w:rFonts w:ascii="Cambria Math" w:hAnsi="Cambria Math"/>
                    <w:i/>
                    <w:color w:val="auto"/>
                    <w:sz w:val="22"/>
                    <w:szCs w:val="22"/>
                    <w:lang w:eastAsia="en-US"/>
                  </w:rPr>
                </m:ctrlPr>
              </m:fPr>
              <m:num>
                <m:r>
                  <w:rPr>
                    <w:rFonts w:ascii="Cambria Math" w:hAnsi="Cambria Math"/>
                    <w:color w:val="auto"/>
                    <w:sz w:val="22"/>
                    <w:szCs w:val="22"/>
                    <w:lang w:eastAsia="en-US"/>
                  </w:rPr>
                  <m:t>1</m:t>
                </m:r>
              </m:num>
              <m:den>
                <m:r>
                  <w:rPr>
                    <w:rFonts w:ascii="Cambria Math" w:hAnsi="Cambria Math"/>
                    <w:color w:val="auto"/>
                    <w:sz w:val="22"/>
                    <w:szCs w:val="22"/>
                    <w:lang w:eastAsia="en-US"/>
                  </w:rPr>
                  <m:t>1+</m:t>
                </m:r>
                <m:sSup>
                  <m:sSupPr>
                    <m:ctrlPr>
                      <w:rPr>
                        <w:rFonts w:ascii="Cambria Math" w:hAnsi="Cambria Math"/>
                        <w:i/>
                        <w:color w:val="auto"/>
                        <w:sz w:val="22"/>
                        <w:szCs w:val="22"/>
                        <w:lang w:eastAsia="en-US"/>
                      </w:rPr>
                    </m:ctrlPr>
                  </m:sSupPr>
                  <m:e>
                    <m:r>
                      <w:rPr>
                        <w:rFonts w:ascii="Cambria Math" w:hAnsi="Cambria Math"/>
                        <w:color w:val="auto"/>
                        <w:sz w:val="22"/>
                        <w:szCs w:val="22"/>
                        <w:lang w:eastAsia="en-US"/>
                      </w:rPr>
                      <m:t>10</m:t>
                    </m:r>
                  </m:e>
                  <m:sup>
                    <m:r>
                      <w:rPr>
                        <w:rFonts w:ascii="Cambria Math" w:hAnsi="Cambria Math"/>
                        <w:color w:val="auto"/>
                        <w:sz w:val="22"/>
                        <w:szCs w:val="22"/>
                        <w:lang w:eastAsia="en-US"/>
                      </w:rPr>
                      <m:t>-</m:t>
                    </m:r>
                    <m:r>
                      <m:rPr>
                        <m:sty m:val="p"/>
                      </m:rPr>
                      <w:rPr>
                        <w:rFonts w:ascii="Cambria Math" w:hAnsi="Cambria Math"/>
                        <w:color w:val="auto"/>
                        <w:sz w:val="22"/>
                        <w:szCs w:val="22"/>
                        <w:lang w:eastAsia="en-US"/>
                      </w:rPr>
                      <m:t>log</m:t>
                    </m:r>
                    <m:r>
                      <w:rPr>
                        <w:rFonts w:ascii="Cambria Math" w:hAnsi="Cambria Math"/>
                        <w:color w:val="auto"/>
                        <w:sz w:val="22"/>
                        <w:szCs w:val="22"/>
                        <w:lang w:eastAsia="en-US"/>
                      </w:rPr>
                      <m:t>D+</m:t>
                    </m:r>
                    <m:func>
                      <m:funcPr>
                        <m:ctrlPr>
                          <w:rPr>
                            <w:rFonts w:ascii="Cambria Math" w:hAnsi="Cambria Math"/>
                            <w:i/>
                            <w:color w:val="auto"/>
                            <w:sz w:val="22"/>
                            <w:szCs w:val="22"/>
                            <w:lang w:eastAsia="en-US"/>
                          </w:rPr>
                        </m:ctrlPr>
                      </m:funcPr>
                      <m:fName>
                        <m:r>
                          <m:rPr>
                            <m:sty m:val="p"/>
                          </m:rPr>
                          <w:rPr>
                            <w:rFonts w:ascii="Cambria Math" w:hAnsi="Cambria Math"/>
                            <w:color w:val="auto"/>
                            <w:sz w:val="22"/>
                            <w:szCs w:val="22"/>
                            <w:lang w:eastAsia="en-US"/>
                          </w:rPr>
                          <m:t>log</m:t>
                        </m:r>
                      </m:fName>
                      <m:e/>
                    </m:func>
                    <m:f>
                      <m:fPr>
                        <m:ctrlPr>
                          <w:rPr>
                            <w:rFonts w:ascii="Cambria Math" w:hAnsi="Cambria Math"/>
                            <w:i/>
                            <w:color w:val="auto"/>
                            <w:sz w:val="22"/>
                            <w:szCs w:val="22"/>
                            <w:lang w:eastAsia="en-US"/>
                          </w:rPr>
                        </m:ctrlPr>
                      </m:fPr>
                      <m:num>
                        <m:sSub>
                          <m:sSubPr>
                            <m:ctrlPr>
                              <w:rPr>
                                <w:rFonts w:ascii="Cambria Math" w:hAnsi="Cambria Math"/>
                                <w:i/>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water</m:t>
                            </m:r>
                          </m:sub>
                        </m:sSub>
                      </m:num>
                      <m:den>
                        <m:sSub>
                          <m:sSubPr>
                            <m:ctrlPr>
                              <w:rPr>
                                <w:rFonts w:ascii="Cambria Math" w:hAnsi="Cambria Math"/>
                                <w:color w:val="auto"/>
                                <w:sz w:val="22"/>
                                <w:szCs w:val="22"/>
                                <w:lang w:eastAsia="en-US"/>
                              </w:rPr>
                            </m:ctrlPr>
                          </m:sSubPr>
                          <m:e>
                            <m:r>
                              <w:rPr>
                                <w:rFonts w:ascii="Cambria Math" w:hAnsi="Cambria Math"/>
                                <w:color w:val="auto"/>
                                <w:sz w:val="22"/>
                                <w:szCs w:val="22"/>
                                <w:lang w:eastAsia="en-US"/>
                              </w:rPr>
                              <m:t>V</m:t>
                            </m:r>
                          </m:e>
                          <m:sub>
                            <m:r>
                              <m:rPr>
                                <m:sty m:val="p"/>
                              </m:rPr>
                              <w:rPr>
                                <w:rFonts w:ascii="Cambria Math" w:hAnsi="Cambria Math"/>
                                <w:color w:val="auto"/>
                                <w:sz w:val="22"/>
                                <w:szCs w:val="22"/>
                                <w:lang w:eastAsia="en-US"/>
                              </w:rPr>
                              <m:t>membrane</m:t>
                            </m:r>
                          </m:sub>
                        </m:sSub>
                      </m:den>
                    </m:f>
                  </m:sup>
                </m:sSup>
              </m:den>
            </m:f>
          </m:e>
        </m:d>
        <m:r>
          <w:rPr>
            <w:rFonts w:ascii="Cambria Math" w:hAnsi="Cambria Math"/>
            <w:color w:val="auto"/>
            <w:sz w:val="22"/>
            <w:szCs w:val="22"/>
            <w:lang w:eastAsia="en-US"/>
          </w:rPr>
          <m:t xml:space="preserve"> </m:t>
        </m:r>
      </m:oMath>
      <w:r w:rsidR="009C1ECE">
        <w:rPr>
          <w:color w:val="auto"/>
          <w:sz w:val="22"/>
          <w:szCs w:val="22"/>
          <w:lang w:eastAsia="en-US"/>
        </w:rPr>
        <w:tab/>
        <w:t>(6b)</w:t>
      </w:r>
    </w:p>
    <w:p w14:paraId="008467AF" w14:textId="77777777" w:rsidR="009C1ECE" w:rsidRDefault="009C1ECE" w:rsidP="009C1ECE">
      <w:pPr>
        <w:tabs>
          <w:tab w:val="right" w:pos="9498"/>
        </w:tabs>
        <w:spacing w:before="360" w:line="240" w:lineRule="auto"/>
        <w:ind w:left="993"/>
        <w:jc w:val="left"/>
        <w:rPr>
          <w:color w:val="auto"/>
          <w:sz w:val="22"/>
          <w:szCs w:val="22"/>
          <w:lang w:eastAsia="en-US"/>
        </w:rPr>
      </w:pPr>
    </w:p>
    <w:p w14:paraId="79A95E25" w14:textId="77777777" w:rsidR="0071553F" w:rsidRDefault="0071553F" w:rsidP="009C1ECE">
      <w:pPr>
        <w:tabs>
          <w:tab w:val="right" w:pos="9498"/>
        </w:tabs>
        <w:spacing w:before="360" w:line="240" w:lineRule="auto"/>
        <w:ind w:left="993"/>
        <w:jc w:val="left"/>
        <w:rPr>
          <w:color w:val="auto"/>
          <w:sz w:val="22"/>
          <w:szCs w:val="22"/>
          <w:lang w:eastAsia="en-US"/>
        </w:rPr>
      </w:pPr>
    </w:p>
    <w:p w14:paraId="3F97970A" w14:textId="77777777" w:rsidR="0071553F" w:rsidRPr="00D91ABA" w:rsidRDefault="0071553F" w:rsidP="0071553F">
      <w:pPr>
        <w:spacing w:line="240" w:lineRule="auto"/>
        <w:jc w:val="center"/>
        <w:rPr>
          <w:color w:val="auto"/>
          <w:sz w:val="18"/>
          <w:szCs w:val="18"/>
          <w:lang w:val="en-GB" w:eastAsia="en-US"/>
        </w:rPr>
      </w:pPr>
      <w:proofErr w:type="gramStart"/>
      <w:r w:rsidRPr="00D91ABA">
        <w:rPr>
          <w:color w:val="auto"/>
          <w:sz w:val="18"/>
          <w:szCs w:val="18"/>
          <w:lang w:val="en-GB" w:eastAsia="en-US"/>
        </w:rPr>
        <w:t>©20</w:t>
      </w:r>
      <w:r>
        <w:rPr>
          <w:color w:val="auto"/>
          <w:sz w:val="18"/>
          <w:szCs w:val="18"/>
          <w:lang w:val="en-GB" w:eastAsia="en-US"/>
        </w:rPr>
        <w:t>20</w:t>
      </w:r>
      <w:r w:rsidRPr="00D91ABA">
        <w:rPr>
          <w:color w:val="auto"/>
          <w:sz w:val="18"/>
          <w:szCs w:val="18"/>
          <w:lang w:val="en-GB" w:eastAsia="en-US"/>
        </w:rPr>
        <w:t xml:space="preserve"> by the authors; licensee IAPC, Zagreb, Croatia.</w:t>
      </w:r>
      <w:proofErr w:type="gramEnd"/>
      <w:r w:rsidRPr="00D91ABA">
        <w:rPr>
          <w:color w:val="auto"/>
          <w:sz w:val="18"/>
          <w:szCs w:val="18"/>
          <w:lang w:val="en-GB" w:eastAsia="en-US"/>
        </w:rPr>
        <w:t xml:space="preserve"> This article is an open-access article distributed under the terms and conditions of the Creative Commons Attribution license (</w:t>
      </w:r>
      <w:hyperlink r:id="rId21" w:history="1">
        <w:r w:rsidRPr="00D91ABA">
          <w:rPr>
            <w:rStyle w:val="Hyperlink"/>
            <w:color w:val="auto"/>
            <w:sz w:val="18"/>
            <w:szCs w:val="18"/>
            <w:lang w:val="en-GB" w:eastAsia="en-US"/>
          </w:rPr>
          <w:t>http://creativecommons.org/licenses/by/3.0/</w:t>
        </w:r>
      </w:hyperlink>
      <w:r w:rsidRPr="00D91ABA">
        <w:rPr>
          <w:color w:val="auto"/>
          <w:sz w:val="18"/>
          <w:szCs w:val="18"/>
          <w:lang w:val="en-GB" w:eastAsia="en-US"/>
        </w:rPr>
        <w:t xml:space="preserve">) </w:t>
      </w:r>
      <w:r w:rsidRPr="00D91ABA">
        <w:rPr>
          <w:noProof/>
          <w:color w:val="auto"/>
          <w:position w:val="-6"/>
          <w:sz w:val="18"/>
          <w:szCs w:val="18"/>
          <w:lang w:val="en-GB" w:eastAsia="en-GB"/>
        </w:rPr>
        <w:drawing>
          <wp:inline distT="0" distB="0" distL="0" distR="0" wp14:anchorId="358A1E5E" wp14:editId="0EBBDDC9">
            <wp:extent cx="762000" cy="142240"/>
            <wp:effectExtent l="0" t="0" r="0" b="0"/>
            <wp:docPr id="7"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142240"/>
                    </a:xfrm>
                    <a:prstGeom prst="rect">
                      <a:avLst/>
                    </a:prstGeom>
                    <a:noFill/>
                    <a:ln>
                      <a:noFill/>
                    </a:ln>
                  </pic:spPr>
                </pic:pic>
              </a:graphicData>
            </a:graphic>
          </wp:inline>
        </w:drawing>
      </w:r>
    </w:p>
    <w:sectPr w:rsidR="0071553F" w:rsidRPr="00D91ABA" w:rsidSect="00307302">
      <w:headerReference w:type="even" r:id="rId23"/>
      <w:headerReference w:type="default" r:id="rId24"/>
      <w:footerReference w:type="even" r:id="rId25"/>
      <w:footerReference w:type="default" r:id="rId26"/>
      <w:footerReference w:type="first" r:id="rId27"/>
      <w:pgSz w:w="11913" w:h="16834" w:code="9"/>
      <w:pgMar w:top="1134" w:right="1134" w:bottom="1134" w:left="1134" w:header="567" w:footer="567" w:gutter="0"/>
      <w:pgNumType w:start="16"/>
      <w:cols w:space="397"/>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27AF4" w16cid:durableId="21E050F5"/>
  <w16cid:commentId w16cid:paraId="611758E8" w16cid:durableId="21E056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8BCE4" w14:textId="77777777" w:rsidR="00363028" w:rsidRDefault="00363028">
      <w:pPr>
        <w:spacing w:line="240" w:lineRule="auto"/>
      </w:pPr>
      <w:r>
        <w:separator/>
      </w:r>
    </w:p>
    <w:p w14:paraId="08B35AA3" w14:textId="77777777" w:rsidR="00363028" w:rsidRDefault="00363028"/>
  </w:endnote>
  <w:endnote w:type="continuationSeparator" w:id="0">
    <w:p w14:paraId="5E572598" w14:textId="77777777" w:rsidR="00363028" w:rsidRDefault="00363028">
      <w:pPr>
        <w:spacing w:line="240" w:lineRule="auto"/>
      </w:pPr>
      <w:r>
        <w:continuationSeparator/>
      </w:r>
    </w:p>
    <w:p w14:paraId="504A11E8" w14:textId="77777777" w:rsidR="00363028" w:rsidRDefault="00363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30178" w14:textId="04B01D13" w:rsidR="004843D7" w:rsidRDefault="004843D7" w:rsidP="004B45EA">
    <w:pPr>
      <w:tabs>
        <w:tab w:val="right" w:pos="9639"/>
      </w:tabs>
    </w:pPr>
    <w:r>
      <w:rPr>
        <w:noProof/>
        <w:sz w:val="20"/>
        <w:lang w:val="en-GB" w:eastAsia="en-GB"/>
      </w:rPr>
      <mc:AlternateContent>
        <mc:Choice Requires="wps">
          <w:drawing>
            <wp:anchor distT="0" distB="0" distL="114300" distR="114300" simplePos="0" relativeHeight="251657728" behindDoc="0" locked="0" layoutInCell="1" allowOverlap="1" wp14:anchorId="25CEE31D" wp14:editId="23A2E6BB">
              <wp:simplePos x="0" y="0"/>
              <wp:positionH relativeFrom="column">
                <wp:posOffset>15875</wp:posOffset>
              </wp:positionH>
              <wp:positionV relativeFrom="paragraph">
                <wp:posOffset>27305</wp:posOffset>
              </wp:positionV>
              <wp:extent cx="6101080" cy="0"/>
              <wp:effectExtent l="0" t="0" r="1397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108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5pt;margin-top:2.15pt;width:480.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" strokeweight=".5pt"/>
          </w:pict>
        </mc:Fallback>
      </mc:AlternateContent>
    </w:r>
    <w:r w:rsidRPr="00D00E0C">
      <w:rPr>
        <w:sz w:val="20"/>
      </w:rPr>
      <w:fldChar w:fldCharType="begin"/>
    </w:r>
    <w:r w:rsidRPr="00D00E0C">
      <w:rPr>
        <w:sz w:val="20"/>
      </w:rPr>
      <w:instrText xml:space="preserve"> PAGE   \* MERGEFORMAT </w:instrText>
    </w:r>
    <w:r w:rsidRPr="00D00E0C">
      <w:rPr>
        <w:sz w:val="20"/>
      </w:rPr>
      <w:fldChar w:fldCharType="separate"/>
    </w:r>
    <w:r w:rsidR="000615A1">
      <w:rPr>
        <w:noProof/>
        <w:sz w:val="20"/>
      </w:rPr>
      <w:t>22</w:t>
    </w:r>
    <w:r w:rsidRPr="00D00E0C">
      <w:rPr>
        <w:sz w:val="20"/>
      </w:rPr>
      <w:fldChar w:fldCharType="end"/>
    </w:r>
    <w:r>
      <w:tab/>
    </w:r>
    <w:r>
      <w:rPr>
        <w:noProof/>
        <w:position w:val="-6"/>
        <w:sz w:val="22"/>
        <w:szCs w:val="22"/>
        <w:lang w:val="en-GB" w:eastAsia="en-GB"/>
      </w:rPr>
      <w:drawing>
        <wp:inline distT="0" distB="0" distL="0" distR="0" wp14:anchorId="45975306" wp14:editId="5958ECC9">
          <wp:extent cx="762000" cy="142240"/>
          <wp:effectExtent l="0" t="0" r="0" b="0"/>
          <wp:docPr id="46"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42240"/>
                  </a:xfrm>
                  <a:prstGeom prst="rect">
                    <a:avLst/>
                  </a:prstGeom>
                  <a:noFill/>
                  <a:ln>
                    <a:noFill/>
                  </a:ln>
                </pic:spPr>
              </pic:pic>
            </a:graphicData>
          </a:graphic>
        </wp:inline>
      </w:drawing>
    </w:r>
  </w:p>
  <w:p w14:paraId="352C22A0" w14:textId="77777777" w:rsidR="004843D7" w:rsidRDefault="004843D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BD219" w14:textId="7980FC50" w:rsidR="004843D7" w:rsidRPr="003B4014" w:rsidRDefault="004843D7" w:rsidP="003A7571">
    <w:pPr>
      <w:pBdr>
        <w:top w:val="single" w:sz="4" w:space="0" w:color="403152"/>
      </w:pBdr>
      <w:tabs>
        <w:tab w:val="right" w:pos="9639"/>
      </w:tabs>
      <w:ind w:right="6"/>
      <w:jc w:val="left"/>
      <w:rPr>
        <w:color w:val="403152"/>
        <w:sz w:val="20"/>
        <w:lang w:val="sr-Latn-CS"/>
      </w:rPr>
    </w:pPr>
    <w:proofErr w:type="spellStart"/>
    <w:proofErr w:type="gramStart"/>
    <w:r w:rsidRPr="003B4014">
      <w:rPr>
        <w:color w:val="403152"/>
        <w:sz w:val="20"/>
        <w:lang w:val="en-GB"/>
      </w:rPr>
      <w:t>doi</w:t>
    </w:r>
    <w:proofErr w:type="spellEnd"/>
    <w:proofErr w:type="gramEnd"/>
    <w:r w:rsidRPr="003B4014">
      <w:rPr>
        <w:color w:val="403152"/>
        <w:sz w:val="20"/>
        <w:lang w:val="en-GB"/>
      </w:rPr>
      <w:t xml:space="preserve">: </w:t>
    </w:r>
    <w:hyperlink r:id="rId1" w:history="1">
      <w:r w:rsidRPr="00461531">
        <w:rPr>
          <w:rStyle w:val="Hyperlink"/>
          <w:sz w:val="20"/>
          <w:lang w:val="en-GB"/>
        </w:rPr>
        <w:t>http://dx.doi.org/10.5599/admet.761</w:t>
      </w:r>
    </w:hyperlink>
    <w:r w:rsidRPr="003B4014">
      <w:rPr>
        <w:color w:val="403152"/>
        <w:sz w:val="20"/>
        <w:lang w:val="sr-Latn-CS"/>
      </w:rPr>
      <w:tab/>
    </w:r>
    <w:r w:rsidRPr="003B4014">
      <w:rPr>
        <w:color w:val="403152"/>
        <w:sz w:val="20"/>
        <w:lang w:val="sr-Latn-CS"/>
      </w:rPr>
      <w:fldChar w:fldCharType="begin"/>
    </w:r>
    <w:r w:rsidRPr="003B4014">
      <w:rPr>
        <w:color w:val="403152"/>
        <w:sz w:val="20"/>
        <w:lang w:val="sr-Latn-CS"/>
      </w:rPr>
      <w:instrText xml:space="preserve"> PAGE   \* MERGEFORMAT </w:instrText>
    </w:r>
    <w:r w:rsidRPr="003B4014">
      <w:rPr>
        <w:color w:val="403152"/>
        <w:sz w:val="20"/>
        <w:lang w:val="sr-Latn-CS"/>
      </w:rPr>
      <w:fldChar w:fldCharType="separate"/>
    </w:r>
    <w:r w:rsidR="000615A1">
      <w:rPr>
        <w:noProof/>
        <w:color w:val="403152"/>
        <w:sz w:val="20"/>
        <w:lang w:val="sr-Latn-CS"/>
      </w:rPr>
      <w:t>23</w:t>
    </w:r>
    <w:r w:rsidRPr="003B4014">
      <w:rPr>
        <w:color w:val="403152"/>
        <w:sz w:val="20"/>
        <w:lang w:val="sr-Latn-CS"/>
      </w:rPr>
      <w:fldChar w:fldCharType="end"/>
    </w:r>
  </w:p>
  <w:p w14:paraId="7507D522" w14:textId="77777777" w:rsidR="004843D7" w:rsidRDefault="004843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5D871" w14:textId="7F197235" w:rsidR="004843D7" w:rsidRPr="003B4014" w:rsidRDefault="004843D7">
    <w:pPr>
      <w:pStyle w:val="Footer"/>
      <w:tabs>
        <w:tab w:val="clear" w:pos="4513"/>
        <w:tab w:val="clear" w:pos="9026"/>
        <w:tab w:val="right" w:pos="9639"/>
      </w:tabs>
      <w:rPr>
        <w:sz w:val="20"/>
        <w:lang w:val="en-GB"/>
      </w:rPr>
    </w:pPr>
    <w:proofErr w:type="spellStart"/>
    <w:proofErr w:type="gramStart"/>
    <w:r w:rsidRPr="003B4014">
      <w:rPr>
        <w:color w:val="403152"/>
        <w:sz w:val="20"/>
        <w:lang w:val="en-GB"/>
      </w:rPr>
      <w:t>doi</w:t>
    </w:r>
    <w:proofErr w:type="spellEnd"/>
    <w:proofErr w:type="gramEnd"/>
    <w:r w:rsidRPr="003B4014">
      <w:rPr>
        <w:color w:val="403152"/>
        <w:sz w:val="20"/>
        <w:lang w:val="en-GB"/>
      </w:rPr>
      <w:t xml:space="preserve">: </w:t>
    </w:r>
    <w:hyperlink r:id="rId1" w:history="1">
      <w:r w:rsidRPr="00461531">
        <w:rPr>
          <w:rStyle w:val="Hyperlink"/>
          <w:sz w:val="20"/>
          <w:lang w:val="en-GB"/>
        </w:rPr>
        <w:t>http://dx.doi.org/10.5599/admet.761</w:t>
      </w:r>
    </w:hyperlink>
    <w:r>
      <w:rPr>
        <w:color w:val="403152"/>
        <w:sz w:val="20"/>
        <w:lang w:val="en-GB"/>
      </w:rPr>
      <w:t xml:space="preserve"> </w:t>
    </w:r>
    <w:r w:rsidRPr="003B4014">
      <w:rPr>
        <w:color w:val="403152"/>
        <w:sz w:val="20"/>
        <w:lang w:val="en-GB"/>
      </w:rPr>
      <w:tab/>
    </w:r>
    <w:r w:rsidRPr="00581187">
      <w:rPr>
        <w:color w:val="403152"/>
        <w:sz w:val="20"/>
        <w:lang w:val="en-GB"/>
      </w:rPr>
      <w:fldChar w:fldCharType="begin"/>
    </w:r>
    <w:r w:rsidRPr="00581187">
      <w:rPr>
        <w:color w:val="403152"/>
        <w:sz w:val="20"/>
        <w:lang w:val="en-GB"/>
      </w:rPr>
      <w:instrText>PAGE   \* MERGEFORMAT</w:instrText>
    </w:r>
    <w:r w:rsidRPr="00581187">
      <w:rPr>
        <w:color w:val="403152"/>
        <w:sz w:val="20"/>
        <w:lang w:val="en-GB"/>
      </w:rPr>
      <w:fldChar w:fldCharType="separate"/>
    </w:r>
    <w:r w:rsidR="000615A1">
      <w:rPr>
        <w:noProof/>
        <w:color w:val="403152"/>
        <w:sz w:val="20"/>
        <w:lang w:val="en-GB"/>
      </w:rPr>
      <w:t>16</w:t>
    </w:r>
    <w:r w:rsidRPr="00581187">
      <w:rPr>
        <w:color w:val="403152"/>
        <w:sz w:val="20"/>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00FC5" w14:textId="77777777" w:rsidR="00363028" w:rsidRDefault="00363028">
      <w:pPr>
        <w:spacing w:line="240" w:lineRule="auto"/>
      </w:pPr>
      <w:r>
        <w:separator/>
      </w:r>
    </w:p>
    <w:p w14:paraId="0F69C5F8" w14:textId="77777777" w:rsidR="00363028" w:rsidRDefault="00363028"/>
  </w:footnote>
  <w:footnote w:type="continuationSeparator" w:id="0">
    <w:p w14:paraId="1230DEAF" w14:textId="77777777" w:rsidR="00363028" w:rsidRDefault="00363028">
      <w:pPr>
        <w:spacing w:line="240" w:lineRule="auto"/>
      </w:pPr>
      <w:r>
        <w:continuationSeparator/>
      </w:r>
    </w:p>
    <w:p w14:paraId="77DB95F8" w14:textId="77777777" w:rsidR="00363028" w:rsidRDefault="003630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5CDC3" w14:textId="4E38653A" w:rsidR="004843D7" w:rsidRPr="006E5301" w:rsidRDefault="004843D7">
    <w:pPr>
      <w:pStyle w:val="Header"/>
      <w:rPr>
        <w:sz w:val="20"/>
        <w:lang w:val="en-GB"/>
      </w:rPr>
    </w:pPr>
    <w:proofErr w:type="spellStart"/>
    <w:r w:rsidRPr="006109C1">
      <w:rPr>
        <w:i/>
        <w:sz w:val="20"/>
        <w:lang w:val="en-GB"/>
      </w:rPr>
      <w:t>Martí</w:t>
    </w:r>
    <w:proofErr w:type="spellEnd"/>
    <w:r w:rsidRPr="006109C1">
      <w:rPr>
        <w:i/>
        <w:sz w:val="20"/>
        <w:lang w:val="en-GB"/>
      </w:rPr>
      <w:t xml:space="preserve"> Rosés</w:t>
    </w:r>
    <w:r>
      <w:rPr>
        <w:i/>
        <w:sz w:val="20"/>
        <w:lang w:val="en-GB"/>
      </w:rPr>
      <w:t xml:space="preserve"> et al.</w:t>
    </w:r>
    <w:r w:rsidRPr="006E5301">
      <w:rPr>
        <w:sz w:val="20"/>
        <w:lang w:val="en-GB"/>
      </w:rPr>
      <w:tab/>
    </w:r>
    <w:r w:rsidRPr="006E5301">
      <w:rPr>
        <w:sz w:val="20"/>
        <w:lang w:val="en-GB"/>
      </w:rPr>
      <w:tab/>
    </w:r>
    <w:r w:rsidRPr="006E5301">
      <w:rPr>
        <w:i/>
        <w:sz w:val="20"/>
        <w:lang w:val="en-GB"/>
      </w:rPr>
      <w:t xml:space="preserve">ADMET &amp; DMPK </w:t>
    </w:r>
    <w:r w:rsidR="00307302">
      <w:rPr>
        <w:i/>
        <w:sz w:val="20"/>
        <w:lang w:val="en-GB"/>
      </w:rPr>
      <w:t>8</w:t>
    </w:r>
    <w:r w:rsidRPr="006E5301">
      <w:rPr>
        <w:i/>
        <w:sz w:val="20"/>
        <w:lang w:val="en-GB"/>
      </w:rPr>
      <w:t>(</w:t>
    </w:r>
    <w:r w:rsidR="00307302">
      <w:rPr>
        <w:i/>
        <w:sz w:val="20"/>
        <w:lang w:val="en-GB"/>
      </w:rPr>
      <w:t>1</w:t>
    </w:r>
    <w:r w:rsidRPr="006E5301">
      <w:rPr>
        <w:i/>
        <w:sz w:val="20"/>
        <w:lang w:val="en-GB"/>
      </w:rPr>
      <w:t>) (20</w:t>
    </w:r>
    <w:r>
      <w:rPr>
        <w:i/>
        <w:sz w:val="20"/>
        <w:lang w:val="en-GB"/>
      </w:rPr>
      <w:t>20</w:t>
    </w:r>
    <w:r w:rsidRPr="006E5301">
      <w:rPr>
        <w:i/>
        <w:sz w:val="20"/>
        <w:lang w:val="en-GB"/>
      </w:rPr>
      <w:t xml:space="preserve">) </w:t>
    </w:r>
    <w:r w:rsidR="00307302">
      <w:rPr>
        <w:i/>
        <w:sz w:val="20"/>
        <w:lang w:val="en-GB"/>
      </w:rPr>
      <w:t>16</w:t>
    </w:r>
    <w:r w:rsidRPr="006E5301">
      <w:rPr>
        <w:i/>
        <w:sz w:val="20"/>
        <w:lang w:val="en-GB"/>
      </w:rPr>
      <w:t>-</w:t>
    </w:r>
    <w:r w:rsidR="00307302">
      <w:rPr>
        <w:i/>
        <w:sz w:val="20"/>
        <w:lang w:val="en-GB"/>
      </w:rPr>
      <w:t>28</w:t>
    </w:r>
  </w:p>
  <w:p w14:paraId="3BF38B61" w14:textId="77777777" w:rsidR="004843D7" w:rsidRDefault="004843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506EE" w14:textId="09EB30B5" w:rsidR="004843D7" w:rsidRDefault="004843D7">
    <w:pPr>
      <w:pStyle w:val="Header"/>
      <w:tabs>
        <w:tab w:val="clear" w:pos="4513"/>
        <w:tab w:val="clear" w:pos="9026"/>
        <w:tab w:val="right" w:pos="9639"/>
      </w:tabs>
      <w:spacing w:line="240" w:lineRule="auto"/>
      <w:jc w:val="left"/>
      <w:rPr>
        <w:b/>
        <w:color w:val="auto"/>
        <w:sz w:val="22"/>
        <w:szCs w:val="22"/>
      </w:rPr>
    </w:pPr>
    <w:r>
      <w:rPr>
        <w:i/>
        <w:sz w:val="20"/>
      </w:rPr>
      <w:t xml:space="preserve">ADMET &amp; DMPK </w:t>
    </w:r>
    <w:r w:rsidR="00307302">
      <w:rPr>
        <w:i/>
        <w:sz w:val="20"/>
      </w:rPr>
      <w:t>8</w:t>
    </w:r>
    <w:r>
      <w:rPr>
        <w:i/>
        <w:sz w:val="20"/>
      </w:rPr>
      <w:t>(</w:t>
    </w:r>
    <w:r w:rsidR="00307302">
      <w:rPr>
        <w:i/>
        <w:sz w:val="20"/>
      </w:rPr>
      <w:t>1</w:t>
    </w:r>
    <w:r>
      <w:rPr>
        <w:i/>
        <w:sz w:val="20"/>
      </w:rPr>
      <w:t xml:space="preserve">) (2020) </w:t>
    </w:r>
    <w:r w:rsidR="00307302">
      <w:rPr>
        <w:i/>
        <w:sz w:val="20"/>
      </w:rPr>
      <w:t>16</w:t>
    </w:r>
    <w:r>
      <w:rPr>
        <w:i/>
        <w:sz w:val="20"/>
      </w:rPr>
      <w:t>-</w:t>
    </w:r>
    <w:r w:rsidR="00307302">
      <w:rPr>
        <w:i/>
        <w:sz w:val="20"/>
      </w:rPr>
      <w:t>28</w:t>
    </w:r>
    <w:r>
      <w:rPr>
        <w:sz w:val="22"/>
        <w:szCs w:val="22"/>
      </w:rPr>
      <w:tab/>
    </w:r>
    <w:r>
      <w:rPr>
        <w:sz w:val="20"/>
      </w:rPr>
      <w:t>Optimization of skin-PAMPA measurements</w:t>
    </w:r>
  </w:p>
  <w:p w14:paraId="0247A531" w14:textId="77777777" w:rsidR="004843D7" w:rsidRDefault="004843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C0267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C0B44C02"/>
    <w:lvl w:ilvl="0">
      <w:start w:val="1"/>
      <w:numFmt w:val="bullet"/>
      <w:lvlText w:val=""/>
      <w:lvlJc w:val="left"/>
      <w:pPr>
        <w:tabs>
          <w:tab w:val="num" w:pos="360"/>
        </w:tabs>
        <w:ind w:left="360" w:hanging="360"/>
      </w:pPr>
      <w:rPr>
        <w:rFonts w:ascii="Symbol" w:hAnsi="Symbol" w:hint="default"/>
      </w:rPr>
    </w:lvl>
  </w:abstractNum>
  <w:abstractNum w:abstractNumId="2">
    <w:nsid w:val="02C27B12"/>
    <w:multiLevelType w:val="hybridMultilevel"/>
    <w:tmpl w:val="48CC4ADA"/>
    <w:lvl w:ilvl="0" w:tplc="FEEC2862">
      <w:start w:val="1"/>
      <w:numFmt w:val="decimal"/>
      <w:pStyle w:val="PaperLit"/>
      <w:lvlText w:val="[%1]"/>
      <w:lvlJc w:val="righ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
    <w:nsid w:val="042476AC"/>
    <w:multiLevelType w:val="singleLevel"/>
    <w:tmpl w:val="EEDE6B7C"/>
    <w:lvl w:ilvl="0">
      <w:start w:val="1"/>
      <w:numFmt w:val="upperLetter"/>
      <w:lvlText w:val="%1."/>
      <w:lvlJc w:val="left"/>
      <w:pPr>
        <w:tabs>
          <w:tab w:val="num" w:pos="360"/>
        </w:tabs>
        <w:ind w:left="360" w:hanging="360"/>
      </w:pPr>
      <w:rPr>
        <w:rFonts w:hint="default"/>
      </w:rPr>
    </w:lvl>
  </w:abstractNum>
  <w:abstractNum w:abstractNumId="4">
    <w:nsid w:val="08167476"/>
    <w:multiLevelType w:val="singleLevel"/>
    <w:tmpl w:val="0409000F"/>
    <w:lvl w:ilvl="0">
      <w:start w:val="1"/>
      <w:numFmt w:val="decimal"/>
      <w:lvlText w:val="%1."/>
      <w:lvlJc w:val="left"/>
      <w:pPr>
        <w:tabs>
          <w:tab w:val="num" w:pos="360"/>
        </w:tabs>
        <w:ind w:left="360" w:hanging="360"/>
      </w:pPr>
    </w:lvl>
  </w:abstractNum>
  <w:abstractNum w:abstractNumId="5">
    <w:nsid w:val="08235F66"/>
    <w:multiLevelType w:val="singleLevel"/>
    <w:tmpl w:val="0409000F"/>
    <w:lvl w:ilvl="0">
      <w:start w:val="1"/>
      <w:numFmt w:val="decimal"/>
      <w:lvlText w:val="%1."/>
      <w:legacy w:legacy="1" w:legacySpace="0" w:legacyIndent="360"/>
      <w:lvlJc w:val="left"/>
      <w:pPr>
        <w:ind w:left="360" w:hanging="360"/>
      </w:pPr>
    </w:lvl>
  </w:abstractNum>
  <w:abstractNum w:abstractNumId="6">
    <w:nsid w:val="09F367D9"/>
    <w:multiLevelType w:val="singleLevel"/>
    <w:tmpl w:val="94D66E3E"/>
    <w:lvl w:ilvl="0">
      <w:start w:val="1"/>
      <w:numFmt w:val="upperLetter"/>
      <w:lvlText w:val="%1."/>
      <w:lvlJc w:val="left"/>
      <w:pPr>
        <w:tabs>
          <w:tab w:val="num" w:pos="360"/>
        </w:tabs>
        <w:ind w:left="360" w:hanging="360"/>
      </w:pPr>
      <w:rPr>
        <w:rFonts w:hint="default"/>
      </w:rPr>
    </w:lvl>
  </w:abstractNum>
  <w:abstractNum w:abstractNumId="7">
    <w:nsid w:val="0A896405"/>
    <w:multiLevelType w:val="hybridMultilevel"/>
    <w:tmpl w:val="6B4849E4"/>
    <w:lvl w:ilvl="0" w:tplc="FC5851DA">
      <w:start w:val="1"/>
      <w:numFmt w:val="decimal"/>
      <w:pStyle w:val="ADMETreferences"/>
      <w:lvlText w:val="[%1]"/>
      <w:lvlJc w:val="righ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C973592"/>
    <w:multiLevelType w:val="singleLevel"/>
    <w:tmpl w:val="0409000F"/>
    <w:lvl w:ilvl="0">
      <w:start w:val="1"/>
      <w:numFmt w:val="decimal"/>
      <w:lvlText w:val="%1."/>
      <w:lvlJc w:val="left"/>
      <w:pPr>
        <w:tabs>
          <w:tab w:val="num" w:pos="360"/>
        </w:tabs>
        <w:ind w:left="360" w:hanging="360"/>
      </w:pPr>
    </w:lvl>
  </w:abstractNum>
  <w:abstractNum w:abstractNumId="9">
    <w:nsid w:val="0E7D0EC1"/>
    <w:multiLevelType w:val="singleLevel"/>
    <w:tmpl w:val="46D6EB0C"/>
    <w:lvl w:ilvl="0">
      <w:start w:val="27"/>
      <w:numFmt w:val="decimal"/>
      <w:lvlText w:val="%1."/>
      <w:lvlJc w:val="left"/>
      <w:pPr>
        <w:tabs>
          <w:tab w:val="num" w:pos="450"/>
        </w:tabs>
        <w:ind w:left="450" w:hanging="450"/>
      </w:pPr>
      <w:rPr>
        <w:rFonts w:hint="default"/>
      </w:rPr>
    </w:lvl>
  </w:abstractNum>
  <w:abstractNum w:abstractNumId="10">
    <w:nsid w:val="1193550A"/>
    <w:multiLevelType w:val="singleLevel"/>
    <w:tmpl w:val="0409000F"/>
    <w:lvl w:ilvl="0">
      <w:start w:val="1"/>
      <w:numFmt w:val="decimal"/>
      <w:lvlText w:val="%1."/>
      <w:lvlJc w:val="left"/>
      <w:pPr>
        <w:tabs>
          <w:tab w:val="num" w:pos="360"/>
        </w:tabs>
        <w:ind w:left="360" w:hanging="360"/>
      </w:pPr>
    </w:lvl>
  </w:abstractNum>
  <w:abstractNum w:abstractNumId="11">
    <w:nsid w:val="132655E1"/>
    <w:multiLevelType w:val="singleLevel"/>
    <w:tmpl w:val="DAEC23BA"/>
    <w:lvl w:ilvl="0">
      <w:start w:val="109"/>
      <w:numFmt w:val="decimal"/>
      <w:lvlText w:val="%1."/>
      <w:lvlJc w:val="left"/>
      <w:pPr>
        <w:tabs>
          <w:tab w:val="num" w:pos="414"/>
        </w:tabs>
        <w:ind w:left="414" w:hanging="414"/>
      </w:pPr>
      <w:rPr>
        <w:rFonts w:hint="default"/>
      </w:rPr>
    </w:lvl>
  </w:abstractNum>
  <w:abstractNum w:abstractNumId="12">
    <w:nsid w:val="14757786"/>
    <w:multiLevelType w:val="singleLevel"/>
    <w:tmpl w:val="35D471E8"/>
    <w:lvl w:ilvl="0">
      <w:start w:val="1"/>
      <w:numFmt w:val="decimal"/>
      <w:lvlText w:val="%1-"/>
      <w:lvlJc w:val="left"/>
      <w:pPr>
        <w:tabs>
          <w:tab w:val="num" w:pos="360"/>
        </w:tabs>
        <w:ind w:left="360" w:hanging="360"/>
      </w:pPr>
      <w:rPr>
        <w:rFonts w:hint="default"/>
      </w:rPr>
    </w:lvl>
  </w:abstractNum>
  <w:abstractNum w:abstractNumId="13">
    <w:nsid w:val="1BB346B8"/>
    <w:multiLevelType w:val="singleLevel"/>
    <w:tmpl w:val="040B0015"/>
    <w:lvl w:ilvl="0">
      <w:start w:val="1"/>
      <w:numFmt w:val="upperLetter"/>
      <w:lvlText w:val="%1."/>
      <w:lvlJc w:val="left"/>
      <w:pPr>
        <w:tabs>
          <w:tab w:val="num" w:pos="360"/>
        </w:tabs>
        <w:ind w:left="360" w:hanging="360"/>
      </w:pPr>
      <w:rPr>
        <w:rFonts w:hint="default"/>
      </w:rPr>
    </w:lvl>
  </w:abstractNum>
  <w:abstractNum w:abstractNumId="14">
    <w:nsid w:val="231D55B4"/>
    <w:multiLevelType w:val="singleLevel"/>
    <w:tmpl w:val="CA8A9C50"/>
    <w:lvl w:ilvl="0">
      <w:start w:val="1"/>
      <w:numFmt w:val="decimal"/>
      <w:lvlText w:val="%1."/>
      <w:lvlJc w:val="left"/>
      <w:pPr>
        <w:tabs>
          <w:tab w:val="num" w:pos="360"/>
        </w:tabs>
        <w:ind w:left="360" w:hanging="360"/>
      </w:pPr>
      <w:rPr>
        <w:b w:val="0"/>
        <w:i w:val="0"/>
      </w:rPr>
    </w:lvl>
  </w:abstractNum>
  <w:abstractNum w:abstractNumId="15">
    <w:nsid w:val="2569699F"/>
    <w:multiLevelType w:val="hybridMultilevel"/>
    <w:tmpl w:val="396645A2"/>
    <w:lvl w:ilvl="0" w:tplc="EBE67D8E">
      <w:start w:val="1"/>
      <w:numFmt w:val="decimal"/>
      <w:lvlText w:val="%1."/>
      <w:lvlJc w:val="left"/>
      <w:pPr>
        <w:tabs>
          <w:tab w:val="num" w:pos="708"/>
        </w:tabs>
        <w:ind w:left="708" w:hanging="708"/>
      </w:pPr>
      <w:rPr>
        <w:rFonts w:hint="default"/>
      </w:rPr>
    </w:lvl>
    <w:lvl w:ilvl="1" w:tplc="34E6DE04" w:tentative="1">
      <w:start w:val="1"/>
      <w:numFmt w:val="lowerLetter"/>
      <w:lvlText w:val="%2."/>
      <w:lvlJc w:val="left"/>
      <w:pPr>
        <w:tabs>
          <w:tab w:val="num" w:pos="1080"/>
        </w:tabs>
        <w:ind w:left="1080" w:hanging="360"/>
      </w:pPr>
    </w:lvl>
    <w:lvl w:ilvl="2" w:tplc="BEE29D62" w:tentative="1">
      <w:start w:val="1"/>
      <w:numFmt w:val="lowerRoman"/>
      <w:lvlText w:val="%3."/>
      <w:lvlJc w:val="right"/>
      <w:pPr>
        <w:tabs>
          <w:tab w:val="num" w:pos="1800"/>
        </w:tabs>
        <w:ind w:left="1800" w:hanging="180"/>
      </w:pPr>
    </w:lvl>
    <w:lvl w:ilvl="3" w:tplc="4C4EAE26" w:tentative="1">
      <w:start w:val="1"/>
      <w:numFmt w:val="decimal"/>
      <w:lvlText w:val="%4."/>
      <w:lvlJc w:val="left"/>
      <w:pPr>
        <w:tabs>
          <w:tab w:val="num" w:pos="2520"/>
        </w:tabs>
        <w:ind w:left="2520" w:hanging="360"/>
      </w:pPr>
    </w:lvl>
    <w:lvl w:ilvl="4" w:tplc="85D26588" w:tentative="1">
      <w:start w:val="1"/>
      <w:numFmt w:val="lowerLetter"/>
      <w:lvlText w:val="%5."/>
      <w:lvlJc w:val="left"/>
      <w:pPr>
        <w:tabs>
          <w:tab w:val="num" w:pos="3240"/>
        </w:tabs>
        <w:ind w:left="3240" w:hanging="360"/>
      </w:pPr>
    </w:lvl>
    <w:lvl w:ilvl="5" w:tplc="6D0E2B8A" w:tentative="1">
      <w:start w:val="1"/>
      <w:numFmt w:val="lowerRoman"/>
      <w:lvlText w:val="%6."/>
      <w:lvlJc w:val="right"/>
      <w:pPr>
        <w:tabs>
          <w:tab w:val="num" w:pos="3960"/>
        </w:tabs>
        <w:ind w:left="3960" w:hanging="180"/>
      </w:pPr>
    </w:lvl>
    <w:lvl w:ilvl="6" w:tplc="97B0B204" w:tentative="1">
      <w:start w:val="1"/>
      <w:numFmt w:val="decimal"/>
      <w:lvlText w:val="%7."/>
      <w:lvlJc w:val="left"/>
      <w:pPr>
        <w:tabs>
          <w:tab w:val="num" w:pos="4680"/>
        </w:tabs>
        <w:ind w:left="4680" w:hanging="360"/>
      </w:pPr>
    </w:lvl>
    <w:lvl w:ilvl="7" w:tplc="F5DC78F0" w:tentative="1">
      <w:start w:val="1"/>
      <w:numFmt w:val="lowerLetter"/>
      <w:lvlText w:val="%8."/>
      <w:lvlJc w:val="left"/>
      <w:pPr>
        <w:tabs>
          <w:tab w:val="num" w:pos="5400"/>
        </w:tabs>
        <w:ind w:left="5400" w:hanging="360"/>
      </w:pPr>
    </w:lvl>
    <w:lvl w:ilvl="8" w:tplc="ECB0A548" w:tentative="1">
      <w:start w:val="1"/>
      <w:numFmt w:val="lowerRoman"/>
      <w:lvlText w:val="%9."/>
      <w:lvlJc w:val="right"/>
      <w:pPr>
        <w:tabs>
          <w:tab w:val="num" w:pos="6120"/>
        </w:tabs>
        <w:ind w:left="6120" w:hanging="180"/>
      </w:pPr>
    </w:lvl>
  </w:abstractNum>
  <w:abstractNum w:abstractNumId="16">
    <w:nsid w:val="26024AAC"/>
    <w:multiLevelType w:val="singleLevel"/>
    <w:tmpl w:val="CDCE17D8"/>
    <w:lvl w:ilvl="0">
      <w:start w:val="1"/>
      <w:numFmt w:val="upperLetter"/>
      <w:lvlText w:val="%1."/>
      <w:lvlJc w:val="left"/>
      <w:pPr>
        <w:tabs>
          <w:tab w:val="num" w:pos="360"/>
        </w:tabs>
        <w:ind w:left="360" w:hanging="360"/>
      </w:pPr>
      <w:rPr>
        <w:rFonts w:hint="default"/>
      </w:rPr>
    </w:lvl>
  </w:abstractNum>
  <w:abstractNum w:abstractNumId="17">
    <w:nsid w:val="285336B8"/>
    <w:multiLevelType w:val="singleLevel"/>
    <w:tmpl w:val="D5C46702"/>
    <w:lvl w:ilvl="0">
      <w:start w:val="5"/>
      <w:numFmt w:val="decimal"/>
      <w:lvlText w:val="%1."/>
      <w:lvlJc w:val="left"/>
      <w:pPr>
        <w:tabs>
          <w:tab w:val="num" w:pos="360"/>
        </w:tabs>
        <w:ind w:left="360" w:hanging="360"/>
      </w:pPr>
      <w:rPr>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2BA22BEC"/>
    <w:multiLevelType w:val="singleLevel"/>
    <w:tmpl w:val="639E3512"/>
    <w:lvl w:ilvl="0">
      <w:start w:val="1"/>
      <w:numFmt w:val="decimal"/>
      <w:lvlText w:val="%1."/>
      <w:lvlJc w:val="left"/>
      <w:pPr>
        <w:tabs>
          <w:tab w:val="num" w:pos="720"/>
        </w:tabs>
        <w:ind w:left="720" w:hanging="720"/>
      </w:pPr>
      <w:rPr>
        <w:rFonts w:hint="default"/>
      </w:rPr>
    </w:lvl>
  </w:abstractNum>
  <w:abstractNum w:abstractNumId="19">
    <w:nsid w:val="2FE643E5"/>
    <w:multiLevelType w:val="singleLevel"/>
    <w:tmpl w:val="D692271E"/>
    <w:lvl w:ilvl="0">
      <w:start w:val="11"/>
      <w:numFmt w:val="decimal"/>
      <w:lvlText w:val="%1."/>
      <w:lvlJc w:val="left"/>
      <w:pPr>
        <w:tabs>
          <w:tab w:val="num" w:pos="540"/>
        </w:tabs>
        <w:ind w:left="540" w:hanging="540"/>
      </w:pPr>
      <w:rPr>
        <w:rFonts w:hint="default"/>
      </w:rPr>
    </w:lvl>
  </w:abstractNum>
  <w:abstractNum w:abstractNumId="20">
    <w:nsid w:val="30BC4DCF"/>
    <w:multiLevelType w:val="hybridMultilevel"/>
    <w:tmpl w:val="9B0C8450"/>
    <w:lvl w:ilvl="0" w:tplc="057236D2">
      <w:start w:val="1"/>
      <w:numFmt w:val="decimal"/>
      <w:lvlText w:val="%1."/>
      <w:lvlJc w:val="left"/>
      <w:pPr>
        <w:tabs>
          <w:tab w:val="num" w:pos="360"/>
        </w:tabs>
        <w:ind w:left="360" w:hanging="360"/>
      </w:pPr>
    </w:lvl>
    <w:lvl w:ilvl="1" w:tplc="9A621F36" w:tentative="1">
      <w:start w:val="1"/>
      <w:numFmt w:val="lowerLetter"/>
      <w:lvlText w:val="%2."/>
      <w:lvlJc w:val="left"/>
      <w:pPr>
        <w:tabs>
          <w:tab w:val="num" w:pos="1080"/>
        </w:tabs>
        <w:ind w:left="1080" w:hanging="360"/>
      </w:pPr>
    </w:lvl>
    <w:lvl w:ilvl="2" w:tplc="BF5834C4" w:tentative="1">
      <w:start w:val="1"/>
      <w:numFmt w:val="lowerRoman"/>
      <w:lvlText w:val="%3."/>
      <w:lvlJc w:val="right"/>
      <w:pPr>
        <w:tabs>
          <w:tab w:val="num" w:pos="1800"/>
        </w:tabs>
        <w:ind w:left="1800" w:hanging="180"/>
      </w:pPr>
    </w:lvl>
    <w:lvl w:ilvl="3" w:tplc="9BD6C610" w:tentative="1">
      <w:start w:val="1"/>
      <w:numFmt w:val="decimal"/>
      <w:lvlText w:val="%4."/>
      <w:lvlJc w:val="left"/>
      <w:pPr>
        <w:tabs>
          <w:tab w:val="num" w:pos="2520"/>
        </w:tabs>
        <w:ind w:left="2520" w:hanging="360"/>
      </w:pPr>
    </w:lvl>
    <w:lvl w:ilvl="4" w:tplc="F5684BC4" w:tentative="1">
      <w:start w:val="1"/>
      <w:numFmt w:val="lowerLetter"/>
      <w:lvlText w:val="%5."/>
      <w:lvlJc w:val="left"/>
      <w:pPr>
        <w:tabs>
          <w:tab w:val="num" w:pos="3240"/>
        </w:tabs>
        <w:ind w:left="3240" w:hanging="360"/>
      </w:pPr>
    </w:lvl>
    <w:lvl w:ilvl="5" w:tplc="3730926A" w:tentative="1">
      <w:start w:val="1"/>
      <w:numFmt w:val="lowerRoman"/>
      <w:lvlText w:val="%6."/>
      <w:lvlJc w:val="right"/>
      <w:pPr>
        <w:tabs>
          <w:tab w:val="num" w:pos="3960"/>
        </w:tabs>
        <w:ind w:left="3960" w:hanging="180"/>
      </w:pPr>
    </w:lvl>
    <w:lvl w:ilvl="6" w:tplc="51A498EA" w:tentative="1">
      <w:start w:val="1"/>
      <w:numFmt w:val="decimal"/>
      <w:lvlText w:val="%7."/>
      <w:lvlJc w:val="left"/>
      <w:pPr>
        <w:tabs>
          <w:tab w:val="num" w:pos="4680"/>
        </w:tabs>
        <w:ind w:left="4680" w:hanging="360"/>
      </w:pPr>
    </w:lvl>
    <w:lvl w:ilvl="7" w:tplc="B1D4A2C6" w:tentative="1">
      <w:start w:val="1"/>
      <w:numFmt w:val="lowerLetter"/>
      <w:lvlText w:val="%8."/>
      <w:lvlJc w:val="left"/>
      <w:pPr>
        <w:tabs>
          <w:tab w:val="num" w:pos="5400"/>
        </w:tabs>
        <w:ind w:left="5400" w:hanging="360"/>
      </w:pPr>
    </w:lvl>
    <w:lvl w:ilvl="8" w:tplc="01FC8D76" w:tentative="1">
      <w:start w:val="1"/>
      <w:numFmt w:val="lowerRoman"/>
      <w:lvlText w:val="%9."/>
      <w:lvlJc w:val="right"/>
      <w:pPr>
        <w:tabs>
          <w:tab w:val="num" w:pos="6120"/>
        </w:tabs>
        <w:ind w:left="6120" w:hanging="180"/>
      </w:pPr>
    </w:lvl>
  </w:abstractNum>
  <w:abstractNum w:abstractNumId="21">
    <w:nsid w:val="342118C4"/>
    <w:multiLevelType w:val="hybridMultilevel"/>
    <w:tmpl w:val="8BAAA0BE"/>
    <w:lvl w:ilvl="0" w:tplc="180A7834">
      <w:start w:val="1"/>
      <w:numFmt w:val="decimal"/>
      <w:lvlText w:val="%1."/>
      <w:lvlJc w:val="left"/>
      <w:pPr>
        <w:tabs>
          <w:tab w:val="num" w:pos="720"/>
        </w:tabs>
        <w:ind w:left="720" w:hanging="360"/>
      </w:pPr>
    </w:lvl>
    <w:lvl w:ilvl="1" w:tplc="F45854CC" w:tentative="1">
      <w:start w:val="1"/>
      <w:numFmt w:val="lowerLetter"/>
      <w:lvlText w:val="%2."/>
      <w:lvlJc w:val="left"/>
      <w:pPr>
        <w:tabs>
          <w:tab w:val="num" w:pos="1440"/>
        </w:tabs>
        <w:ind w:left="1440" w:hanging="360"/>
      </w:pPr>
    </w:lvl>
    <w:lvl w:ilvl="2" w:tplc="8540793E" w:tentative="1">
      <w:start w:val="1"/>
      <w:numFmt w:val="lowerRoman"/>
      <w:lvlText w:val="%3."/>
      <w:lvlJc w:val="right"/>
      <w:pPr>
        <w:tabs>
          <w:tab w:val="num" w:pos="2160"/>
        </w:tabs>
        <w:ind w:left="2160" w:hanging="180"/>
      </w:pPr>
    </w:lvl>
    <w:lvl w:ilvl="3" w:tplc="A1D638F8" w:tentative="1">
      <w:start w:val="1"/>
      <w:numFmt w:val="decimal"/>
      <w:lvlText w:val="%4."/>
      <w:lvlJc w:val="left"/>
      <w:pPr>
        <w:tabs>
          <w:tab w:val="num" w:pos="2880"/>
        </w:tabs>
        <w:ind w:left="2880" w:hanging="360"/>
      </w:pPr>
    </w:lvl>
    <w:lvl w:ilvl="4" w:tplc="F8DCD314" w:tentative="1">
      <w:start w:val="1"/>
      <w:numFmt w:val="lowerLetter"/>
      <w:lvlText w:val="%5."/>
      <w:lvlJc w:val="left"/>
      <w:pPr>
        <w:tabs>
          <w:tab w:val="num" w:pos="3600"/>
        </w:tabs>
        <w:ind w:left="3600" w:hanging="360"/>
      </w:pPr>
    </w:lvl>
    <w:lvl w:ilvl="5" w:tplc="45F67288" w:tentative="1">
      <w:start w:val="1"/>
      <w:numFmt w:val="lowerRoman"/>
      <w:lvlText w:val="%6."/>
      <w:lvlJc w:val="right"/>
      <w:pPr>
        <w:tabs>
          <w:tab w:val="num" w:pos="4320"/>
        </w:tabs>
        <w:ind w:left="4320" w:hanging="180"/>
      </w:pPr>
    </w:lvl>
    <w:lvl w:ilvl="6" w:tplc="3F30A6FC" w:tentative="1">
      <w:start w:val="1"/>
      <w:numFmt w:val="decimal"/>
      <w:lvlText w:val="%7."/>
      <w:lvlJc w:val="left"/>
      <w:pPr>
        <w:tabs>
          <w:tab w:val="num" w:pos="5040"/>
        </w:tabs>
        <w:ind w:left="5040" w:hanging="360"/>
      </w:pPr>
    </w:lvl>
    <w:lvl w:ilvl="7" w:tplc="9836D05A" w:tentative="1">
      <w:start w:val="1"/>
      <w:numFmt w:val="lowerLetter"/>
      <w:lvlText w:val="%8."/>
      <w:lvlJc w:val="left"/>
      <w:pPr>
        <w:tabs>
          <w:tab w:val="num" w:pos="5760"/>
        </w:tabs>
        <w:ind w:left="5760" w:hanging="360"/>
      </w:pPr>
    </w:lvl>
    <w:lvl w:ilvl="8" w:tplc="B394CC18" w:tentative="1">
      <w:start w:val="1"/>
      <w:numFmt w:val="lowerRoman"/>
      <w:lvlText w:val="%9."/>
      <w:lvlJc w:val="right"/>
      <w:pPr>
        <w:tabs>
          <w:tab w:val="num" w:pos="6480"/>
        </w:tabs>
        <w:ind w:left="6480" w:hanging="180"/>
      </w:pPr>
    </w:lvl>
  </w:abstractNum>
  <w:abstractNum w:abstractNumId="22">
    <w:nsid w:val="347E0C74"/>
    <w:multiLevelType w:val="singleLevel"/>
    <w:tmpl w:val="BCE4153E"/>
    <w:lvl w:ilvl="0">
      <w:start w:val="1"/>
      <w:numFmt w:val="upperLetter"/>
      <w:lvlText w:val="%1."/>
      <w:lvlJc w:val="left"/>
      <w:pPr>
        <w:tabs>
          <w:tab w:val="num" w:pos="360"/>
        </w:tabs>
        <w:ind w:left="360" w:hanging="360"/>
      </w:pPr>
      <w:rPr>
        <w:rFonts w:hint="default"/>
      </w:rPr>
    </w:lvl>
  </w:abstractNum>
  <w:abstractNum w:abstractNumId="23">
    <w:nsid w:val="370204C8"/>
    <w:multiLevelType w:val="singleLevel"/>
    <w:tmpl w:val="040B000F"/>
    <w:lvl w:ilvl="0">
      <w:start w:val="1"/>
      <w:numFmt w:val="decimal"/>
      <w:lvlText w:val="%1."/>
      <w:lvlJc w:val="left"/>
      <w:pPr>
        <w:tabs>
          <w:tab w:val="num" w:pos="360"/>
        </w:tabs>
        <w:ind w:left="360" w:hanging="360"/>
      </w:pPr>
      <w:rPr>
        <w:rFonts w:hint="default"/>
      </w:rPr>
    </w:lvl>
  </w:abstractNum>
  <w:abstractNum w:abstractNumId="24">
    <w:nsid w:val="3DE07217"/>
    <w:multiLevelType w:val="singleLevel"/>
    <w:tmpl w:val="040B0015"/>
    <w:lvl w:ilvl="0">
      <w:start w:val="1"/>
      <w:numFmt w:val="upperLetter"/>
      <w:lvlText w:val="%1."/>
      <w:lvlJc w:val="left"/>
      <w:pPr>
        <w:tabs>
          <w:tab w:val="num" w:pos="360"/>
        </w:tabs>
        <w:ind w:left="360" w:hanging="360"/>
      </w:pPr>
      <w:rPr>
        <w:rFonts w:hint="default"/>
      </w:rPr>
    </w:lvl>
  </w:abstractNum>
  <w:abstractNum w:abstractNumId="25">
    <w:nsid w:val="48E11781"/>
    <w:multiLevelType w:val="singleLevel"/>
    <w:tmpl w:val="DD000118"/>
    <w:lvl w:ilvl="0">
      <w:start w:val="3"/>
      <w:numFmt w:val="decimal"/>
      <w:lvlText w:val="%1."/>
      <w:lvlJc w:val="left"/>
      <w:pPr>
        <w:tabs>
          <w:tab w:val="num" w:pos="720"/>
        </w:tabs>
        <w:ind w:left="720" w:hanging="720"/>
      </w:pPr>
      <w:rPr>
        <w:rFonts w:hint="default"/>
      </w:rPr>
    </w:lvl>
  </w:abstractNum>
  <w:abstractNum w:abstractNumId="26">
    <w:nsid w:val="4A1F4F0B"/>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ADB008C"/>
    <w:multiLevelType w:val="multilevel"/>
    <w:tmpl w:val="680CEBF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2746F27"/>
    <w:multiLevelType w:val="singleLevel"/>
    <w:tmpl w:val="F9EEBC8E"/>
    <w:lvl w:ilvl="0">
      <w:start w:val="1"/>
      <w:numFmt w:val="decimal"/>
      <w:lvlText w:val="(%1)"/>
      <w:lvlJc w:val="left"/>
      <w:pPr>
        <w:tabs>
          <w:tab w:val="num" w:pos="2970"/>
        </w:tabs>
        <w:ind w:left="2970" w:hanging="360"/>
      </w:pPr>
      <w:rPr>
        <w:rFonts w:hint="default"/>
      </w:rPr>
    </w:lvl>
  </w:abstractNum>
  <w:abstractNum w:abstractNumId="29">
    <w:nsid w:val="58A7449E"/>
    <w:multiLevelType w:val="multilevel"/>
    <w:tmpl w:val="2904D15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0654C85"/>
    <w:multiLevelType w:val="hybridMultilevel"/>
    <w:tmpl w:val="2BF00094"/>
    <w:lvl w:ilvl="0" w:tplc="F0625ED6">
      <w:start w:val="1"/>
      <w:numFmt w:val="decimal"/>
      <w:lvlText w:val="%1."/>
      <w:lvlJc w:val="left"/>
      <w:pPr>
        <w:tabs>
          <w:tab w:val="num" w:pos="360"/>
        </w:tabs>
        <w:ind w:left="360" w:hanging="360"/>
      </w:pPr>
      <w:rPr>
        <w:rFonts w:hint="default"/>
      </w:rPr>
    </w:lvl>
    <w:lvl w:ilvl="1" w:tplc="9F4239DA" w:tentative="1">
      <w:start w:val="1"/>
      <w:numFmt w:val="lowerLetter"/>
      <w:lvlText w:val="%2)"/>
      <w:lvlJc w:val="left"/>
      <w:pPr>
        <w:tabs>
          <w:tab w:val="num" w:pos="840"/>
        </w:tabs>
        <w:ind w:left="840" w:hanging="420"/>
      </w:pPr>
    </w:lvl>
    <w:lvl w:ilvl="2" w:tplc="D7EAED84" w:tentative="1">
      <w:start w:val="1"/>
      <w:numFmt w:val="lowerRoman"/>
      <w:lvlText w:val="%3."/>
      <w:lvlJc w:val="right"/>
      <w:pPr>
        <w:tabs>
          <w:tab w:val="num" w:pos="1260"/>
        </w:tabs>
        <w:ind w:left="1260" w:hanging="420"/>
      </w:pPr>
    </w:lvl>
    <w:lvl w:ilvl="3" w:tplc="A45E4B94" w:tentative="1">
      <w:start w:val="1"/>
      <w:numFmt w:val="decimal"/>
      <w:lvlText w:val="%4."/>
      <w:lvlJc w:val="left"/>
      <w:pPr>
        <w:tabs>
          <w:tab w:val="num" w:pos="1680"/>
        </w:tabs>
        <w:ind w:left="1680" w:hanging="420"/>
      </w:pPr>
    </w:lvl>
    <w:lvl w:ilvl="4" w:tplc="E78ECFCA" w:tentative="1">
      <w:start w:val="1"/>
      <w:numFmt w:val="lowerLetter"/>
      <w:lvlText w:val="%5)"/>
      <w:lvlJc w:val="left"/>
      <w:pPr>
        <w:tabs>
          <w:tab w:val="num" w:pos="2100"/>
        </w:tabs>
        <w:ind w:left="2100" w:hanging="420"/>
      </w:pPr>
    </w:lvl>
    <w:lvl w:ilvl="5" w:tplc="F8B6192E" w:tentative="1">
      <w:start w:val="1"/>
      <w:numFmt w:val="lowerRoman"/>
      <w:lvlText w:val="%6."/>
      <w:lvlJc w:val="right"/>
      <w:pPr>
        <w:tabs>
          <w:tab w:val="num" w:pos="2520"/>
        </w:tabs>
        <w:ind w:left="2520" w:hanging="420"/>
      </w:pPr>
    </w:lvl>
    <w:lvl w:ilvl="6" w:tplc="3E6AC0C0" w:tentative="1">
      <w:start w:val="1"/>
      <w:numFmt w:val="decimal"/>
      <w:lvlText w:val="%7."/>
      <w:lvlJc w:val="left"/>
      <w:pPr>
        <w:tabs>
          <w:tab w:val="num" w:pos="2940"/>
        </w:tabs>
        <w:ind w:left="2940" w:hanging="420"/>
      </w:pPr>
    </w:lvl>
    <w:lvl w:ilvl="7" w:tplc="05760156" w:tentative="1">
      <w:start w:val="1"/>
      <w:numFmt w:val="lowerLetter"/>
      <w:lvlText w:val="%8)"/>
      <w:lvlJc w:val="left"/>
      <w:pPr>
        <w:tabs>
          <w:tab w:val="num" w:pos="3360"/>
        </w:tabs>
        <w:ind w:left="3360" w:hanging="420"/>
      </w:pPr>
    </w:lvl>
    <w:lvl w:ilvl="8" w:tplc="9064BA0C" w:tentative="1">
      <w:start w:val="1"/>
      <w:numFmt w:val="lowerRoman"/>
      <w:lvlText w:val="%9."/>
      <w:lvlJc w:val="right"/>
      <w:pPr>
        <w:tabs>
          <w:tab w:val="num" w:pos="3780"/>
        </w:tabs>
        <w:ind w:left="3780" w:hanging="420"/>
      </w:pPr>
    </w:lvl>
  </w:abstractNum>
  <w:abstractNum w:abstractNumId="31">
    <w:nsid w:val="641F4E4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2">
    <w:nsid w:val="64F26AB9"/>
    <w:multiLevelType w:val="singleLevel"/>
    <w:tmpl w:val="94D66E3E"/>
    <w:lvl w:ilvl="0">
      <w:start w:val="1"/>
      <w:numFmt w:val="upperLetter"/>
      <w:lvlText w:val="%1."/>
      <w:lvlJc w:val="left"/>
      <w:pPr>
        <w:tabs>
          <w:tab w:val="num" w:pos="360"/>
        </w:tabs>
        <w:ind w:left="360" w:hanging="360"/>
      </w:pPr>
      <w:rPr>
        <w:rFonts w:hint="default"/>
      </w:rPr>
    </w:lvl>
  </w:abstractNum>
  <w:abstractNum w:abstractNumId="33">
    <w:nsid w:val="654C593F"/>
    <w:multiLevelType w:val="singleLevel"/>
    <w:tmpl w:val="12C469DE"/>
    <w:lvl w:ilvl="0">
      <w:start w:val="108"/>
      <w:numFmt w:val="decimal"/>
      <w:lvlText w:val="%1."/>
      <w:lvlJc w:val="left"/>
      <w:pPr>
        <w:tabs>
          <w:tab w:val="num" w:pos="510"/>
        </w:tabs>
        <w:ind w:left="510" w:hanging="510"/>
      </w:pPr>
      <w:rPr>
        <w:rFonts w:hint="default"/>
      </w:rPr>
    </w:lvl>
  </w:abstractNum>
  <w:abstractNum w:abstractNumId="34">
    <w:nsid w:val="66AF2525"/>
    <w:multiLevelType w:val="singleLevel"/>
    <w:tmpl w:val="EA460AF0"/>
    <w:lvl w:ilvl="0">
      <w:start w:val="1"/>
      <w:numFmt w:val="decimal"/>
      <w:lvlText w:val="%1."/>
      <w:lvlJc w:val="left"/>
      <w:pPr>
        <w:tabs>
          <w:tab w:val="num" w:pos="720"/>
        </w:tabs>
        <w:ind w:left="720" w:hanging="720"/>
      </w:pPr>
      <w:rPr>
        <w:rFonts w:hint="default"/>
      </w:rPr>
    </w:lvl>
  </w:abstractNum>
  <w:abstractNum w:abstractNumId="35">
    <w:nsid w:val="68B64C66"/>
    <w:multiLevelType w:val="hybridMultilevel"/>
    <w:tmpl w:val="666834F4"/>
    <w:lvl w:ilvl="0" w:tplc="3D7AF28E">
      <w:start w:val="1"/>
      <w:numFmt w:val="decimal"/>
      <w:lvlText w:val="%1."/>
      <w:lvlJc w:val="left"/>
      <w:pPr>
        <w:tabs>
          <w:tab w:val="num" w:pos="708"/>
        </w:tabs>
        <w:ind w:left="708" w:hanging="708"/>
      </w:pPr>
      <w:rPr>
        <w:rFonts w:hint="default"/>
      </w:rPr>
    </w:lvl>
    <w:lvl w:ilvl="1" w:tplc="F094F4A2" w:tentative="1">
      <w:start w:val="1"/>
      <w:numFmt w:val="lowerLetter"/>
      <w:lvlText w:val="%2."/>
      <w:lvlJc w:val="left"/>
      <w:pPr>
        <w:tabs>
          <w:tab w:val="num" w:pos="1440"/>
        </w:tabs>
        <w:ind w:left="1440" w:hanging="360"/>
      </w:pPr>
    </w:lvl>
    <w:lvl w:ilvl="2" w:tplc="8466E23C" w:tentative="1">
      <w:start w:val="1"/>
      <w:numFmt w:val="lowerRoman"/>
      <w:lvlText w:val="%3."/>
      <w:lvlJc w:val="right"/>
      <w:pPr>
        <w:tabs>
          <w:tab w:val="num" w:pos="2160"/>
        </w:tabs>
        <w:ind w:left="2160" w:hanging="180"/>
      </w:pPr>
    </w:lvl>
    <w:lvl w:ilvl="3" w:tplc="CE0094A0" w:tentative="1">
      <w:start w:val="1"/>
      <w:numFmt w:val="decimal"/>
      <w:lvlText w:val="%4."/>
      <w:lvlJc w:val="left"/>
      <w:pPr>
        <w:tabs>
          <w:tab w:val="num" w:pos="2880"/>
        </w:tabs>
        <w:ind w:left="2880" w:hanging="360"/>
      </w:pPr>
    </w:lvl>
    <w:lvl w:ilvl="4" w:tplc="55C4A834" w:tentative="1">
      <w:start w:val="1"/>
      <w:numFmt w:val="lowerLetter"/>
      <w:lvlText w:val="%5."/>
      <w:lvlJc w:val="left"/>
      <w:pPr>
        <w:tabs>
          <w:tab w:val="num" w:pos="3600"/>
        </w:tabs>
        <w:ind w:left="3600" w:hanging="360"/>
      </w:pPr>
    </w:lvl>
    <w:lvl w:ilvl="5" w:tplc="5A9A29B0" w:tentative="1">
      <w:start w:val="1"/>
      <w:numFmt w:val="lowerRoman"/>
      <w:lvlText w:val="%6."/>
      <w:lvlJc w:val="right"/>
      <w:pPr>
        <w:tabs>
          <w:tab w:val="num" w:pos="4320"/>
        </w:tabs>
        <w:ind w:left="4320" w:hanging="180"/>
      </w:pPr>
    </w:lvl>
    <w:lvl w:ilvl="6" w:tplc="8B7488B2" w:tentative="1">
      <w:start w:val="1"/>
      <w:numFmt w:val="decimal"/>
      <w:lvlText w:val="%7."/>
      <w:lvlJc w:val="left"/>
      <w:pPr>
        <w:tabs>
          <w:tab w:val="num" w:pos="5040"/>
        </w:tabs>
        <w:ind w:left="5040" w:hanging="360"/>
      </w:pPr>
    </w:lvl>
    <w:lvl w:ilvl="7" w:tplc="8D768DDA" w:tentative="1">
      <w:start w:val="1"/>
      <w:numFmt w:val="lowerLetter"/>
      <w:lvlText w:val="%8."/>
      <w:lvlJc w:val="left"/>
      <w:pPr>
        <w:tabs>
          <w:tab w:val="num" w:pos="5760"/>
        </w:tabs>
        <w:ind w:left="5760" w:hanging="360"/>
      </w:pPr>
    </w:lvl>
    <w:lvl w:ilvl="8" w:tplc="72709ABC" w:tentative="1">
      <w:start w:val="1"/>
      <w:numFmt w:val="lowerRoman"/>
      <w:lvlText w:val="%9."/>
      <w:lvlJc w:val="right"/>
      <w:pPr>
        <w:tabs>
          <w:tab w:val="num" w:pos="6480"/>
        </w:tabs>
        <w:ind w:left="6480" w:hanging="180"/>
      </w:pPr>
    </w:lvl>
  </w:abstractNum>
  <w:abstractNum w:abstractNumId="36">
    <w:nsid w:val="6B363B02"/>
    <w:multiLevelType w:val="hybridMultilevel"/>
    <w:tmpl w:val="0A9EA6FC"/>
    <w:lvl w:ilvl="0" w:tplc="09EA9D00">
      <w:start w:val="1"/>
      <w:numFmt w:val="decimal"/>
      <w:lvlText w:val="%1."/>
      <w:lvlJc w:val="left"/>
      <w:pPr>
        <w:tabs>
          <w:tab w:val="num" w:pos="708"/>
        </w:tabs>
        <w:ind w:left="708" w:hanging="708"/>
      </w:pPr>
      <w:rPr>
        <w:rFonts w:hint="default"/>
      </w:rPr>
    </w:lvl>
    <w:lvl w:ilvl="1" w:tplc="891674DC" w:tentative="1">
      <w:start w:val="1"/>
      <w:numFmt w:val="lowerLetter"/>
      <w:lvlText w:val="%2."/>
      <w:lvlJc w:val="left"/>
      <w:pPr>
        <w:tabs>
          <w:tab w:val="num" w:pos="1440"/>
        </w:tabs>
        <w:ind w:left="1440" w:hanging="360"/>
      </w:pPr>
    </w:lvl>
    <w:lvl w:ilvl="2" w:tplc="B46AF120" w:tentative="1">
      <w:start w:val="1"/>
      <w:numFmt w:val="lowerRoman"/>
      <w:lvlText w:val="%3."/>
      <w:lvlJc w:val="right"/>
      <w:pPr>
        <w:tabs>
          <w:tab w:val="num" w:pos="2160"/>
        </w:tabs>
        <w:ind w:left="2160" w:hanging="180"/>
      </w:pPr>
    </w:lvl>
    <w:lvl w:ilvl="3" w:tplc="FC8E74F0" w:tentative="1">
      <w:start w:val="1"/>
      <w:numFmt w:val="decimal"/>
      <w:lvlText w:val="%4."/>
      <w:lvlJc w:val="left"/>
      <w:pPr>
        <w:tabs>
          <w:tab w:val="num" w:pos="2880"/>
        </w:tabs>
        <w:ind w:left="2880" w:hanging="360"/>
      </w:pPr>
    </w:lvl>
    <w:lvl w:ilvl="4" w:tplc="7A2EA4C6" w:tentative="1">
      <w:start w:val="1"/>
      <w:numFmt w:val="lowerLetter"/>
      <w:lvlText w:val="%5."/>
      <w:lvlJc w:val="left"/>
      <w:pPr>
        <w:tabs>
          <w:tab w:val="num" w:pos="3600"/>
        </w:tabs>
        <w:ind w:left="3600" w:hanging="360"/>
      </w:pPr>
    </w:lvl>
    <w:lvl w:ilvl="5" w:tplc="E8ACAC7E" w:tentative="1">
      <w:start w:val="1"/>
      <w:numFmt w:val="lowerRoman"/>
      <w:lvlText w:val="%6."/>
      <w:lvlJc w:val="right"/>
      <w:pPr>
        <w:tabs>
          <w:tab w:val="num" w:pos="4320"/>
        </w:tabs>
        <w:ind w:left="4320" w:hanging="180"/>
      </w:pPr>
    </w:lvl>
    <w:lvl w:ilvl="6" w:tplc="CEF4E366" w:tentative="1">
      <w:start w:val="1"/>
      <w:numFmt w:val="decimal"/>
      <w:lvlText w:val="%7."/>
      <w:lvlJc w:val="left"/>
      <w:pPr>
        <w:tabs>
          <w:tab w:val="num" w:pos="5040"/>
        </w:tabs>
        <w:ind w:left="5040" w:hanging="360"/>
      </w:pPr>
    </w:lvl>
    <w:lvl w:ilvl="7" w:tplc="6CD0F72E" w:tentative="1">
      <w:start w:val="1"/>
      <w:numFmt w:val="lowerLetter"/>
      <w:lvlText w:val="%8."/>
      <w:lvlJc w:val="left"/>
      <w:pPr>
        <w:tabs>
          <w:tab w:val="num" w:pos="5760"/>
        </w:tabs>
        <w:ind w:left="5760" w:hanging="360"/>
      </w:pPr>
    </w:lvl>
    <w:lvl w:ilvl="8" w:tplc="43B6F4AE" w:tentative="1">
      <w:start w:val="1"/>
      <w:numFmt w:val="lowerRoman"/>
      <w:lvlText w:val="%9."/>
      <w:lvlJc w:val="right"/>
      <w:pPr>
        <w:tabs>
          <w:tab w:val="num" w:pos="6480"/>
        </w:tabs>
        <w:ind w:left="6480" w:hanging="180"/>
      </w:pPr>
    </w:lvl>
  </w:abstractNum>
  <w:abstractNum w:abstractNumId="37">
    <w:nsid w:val="6C182608"/>
    <w:multiLevelType w:val="singleLevel"/>
    <w:tmpl w:val="0409000F"/>
    <w:lvl w:ilvl="0">
      <w:start w:val="1"/>
      <w:numFmt w:val="decimal"/>
      <w:lvlText w:val="%1."/>
      <w:lvlJc w:val="left"/>
      <w:pPr>
        <w:tabs>
          <w:tab w:val="num" w:pos="360"/>
        </w:tabs>
        <w:ind w:left="360" w:hanging="360"/>
      </w:pPr>
    </w:lvl>
  </w:abstractNum>
  <w:abstractNum w:abstractNumId="38">
    <w:nsid w:val="6D6D314E"/>
    <w:multiLevelType w:val="singleLevel"/>
    <w:tmpl w:val="040B0015"/>
    <w:lvl w:ilvl="0">
      <w:start w:val="1"/>
      <w:numFmt w:val="upperLetter"/>
      <w:lvlText w:val="%1."/>
      <w:lvlJc w:val="left"/>
      <w:pPr>
        <w:tabs>
          <w:tab w:val="num" w:pos="360"/>
        </w:tabs>
        <w:ind w:left="360" w:hanging="360"/>
      </w:pPr>
      <w:rPr>
        <w:rFonts w:hint="default"/>
      </w:rPr>
    </w:lvl>
  </w:abstractNum>
  <w:abstractNum w:abstractNumId="39">
    <w:nsid w:val="6E3B25C3"/>
    <w:multiLevelType w:val="multilevel"/>
    <w:tmpl w:val="6322668E"/>
    <w:lvl w:ilvl="0">
      <w:start w:val="5"/>
      <w:numFmt w:val="decimal"/>
      <w:lvlText w:val="%1."/>
      <w:lvlJc w:val="left"/>
      <w:pPr>
        <w:tabs>
          <w:tab w:val="num" w:pos="720"/>
        </w:tabs>
        <w:ind w:left="720" w:hanging="720"/>
      </w:pPr>
      <w:rPr>
        <w:rFonts w:hint="default"/>
      </w:rPr>
    </w:lvl>
    <w:lvl w:ilvl="1">
      <w:start w:val="1"/>
      <w:numFmt w:val="decimal"/>
      <w:lvlText w:val="%2)"/>
      <w:legacy w:legacy="1" w:legacySpace="0" w:legacyIndent="540"/>
      <w:lvlJc w:val="left"/>
      <w:pPr>
        <w:ind w:left="1080" w:hanging="540"/>
      </w:pPr>
    </w:lvl>
    <w:lvl w:ilvl="2">
      <w:start w:val="1"/>
      <w:numFmt w:val="decimal"/>
      <w:lvlText w:val="%3)"/>
      <w:legacy w:legacy="1" w:legacySpace="0" w:legacyIndent="540"/>
      <w:lvlJc w:val="left"/>
      <w:pPr>
        <w:ind w:left="1620" w:hanging="540"/>
      </w:pPr>
    </w:lvl>
    <w:lvl w:ilvl="3">
      <w:start w:val="1"/>
      <w:numFmt w:val="decimal"/>
      <w:lvlText w:val="%4)"/>
      <w:legacy w:legacy="1" w:legacySpace="0" w:legacyIndent="540"/>
      <w:lvlJc w:val="left"/>
      <w:pPr>
        <w:ind w:left="2160" w:hanging="540"/>
      </w:pPr>
    </w:lvl>
    <w:lvl w:ilvl="4">
      <w:start w:val="1"/>
      <w:numFmt w:val="decimal"/>
      <w:lvlText w:val="%5)"/>
      <w:legacy w:legacy="1" w:legacySpace="0" w:legacyIndent="540"/>
      <w:lvlJc w:val="left"/>
      <w:pPr>
        <w:ind w:left="2700" w:hanging="540"/>
      </w:pPr>
    </w:lvl>
    <w:lvl w:ilvl="5">
      <w:start w:val="1"/>
      <w:numFmt w:val="decimal"/>
      <w:lvlText w:val="%6)"/>
      <w:legacy w:legacy="1" w:legacySpace="0" w:legacyIndent="540"/>
      <w:lvlJc w:val="left"/>
      <w:pPr>
        <w:ind w:left="3240" w:hanging="540"/>
      </w:pPr>
    </w:lvl>
    <w:lvl w:ilvl="6">
      <w:start w:val="1"/>
      <w:numFmt w:val="decimal"/>
      <w:lvlText w:val="%7)"/>
      <w:legacy w:legacy="1" w:legacySpace="0" w:legacyIndent="540"/>
      <w:lvlJc w:val="left"/>
      <w:pPr>
        <w:ind w:left="3780" w:hanging="540"/>
      </w:pPr>
    </w:lvl>
    <w:lvl w:ilvl="7">
      <w:start w:val="1"/>
      <w:numFmt w:val="decimal"/>
      <w:lvlText w:val="%8)"/>
      <w:legacy w:legacy="1" w:legacySpace="0" w:legacyIndent="540"/>
      <w:lvlJc w:val="left"/>
      <w:pPr>
        <w:ind w:left="4320" w:hanging="540"/>
      </w:pPr>
    </w:lvl>
    <w:lvl w:ilvl="8">
      <w:start w:val="1"/>
      <w:numFmt w:val="lowerRoman"/>
      <w:lvlText w:val="%9"/>
      <w:legacy w:legacy="1" w:legacySpace="0" w:legacyIndent="540"/>
      <w:lvlJc w:val="left"/>
      <w:pPr>
        <w:ind w:left="4860" w:hanging="540"/>
      </w:pPr>
    </w:lvl>
  </w:abstractNum>
  <w:abstractNum w:abstractNumId="40">
    <w:nsid w:val="701B7B80"/>
    <w:multiLevelType w:val="singleLevel"/>
    <w:tmpl w:val="542452EA"/>
    <w:lvl w:ilvl="0">
      <w:start w:val="1"/>
      <w:numFmt w:val="decimal"/>
      <w:lvlText w:val="%1."/>
      <w:lvlJc w:val="left"/>
      <w:pPr>
        <w:tabs>
          <w:tab w:val="num" w:pos="360"/>
        </w:tabs>
        <w:ind w:left="360" w:hanging="360"/>
      </w:pPr>
      <w:rPr>
        <w:rFonts w:hint="eastAsia"/>
      </w:rPr>
    </w:lvl>
  </w:abstractNum>
  <w:abstractNum w:abstractNumId="41">
    <w:nsid w:val="73D639AD"/>
    <w:multiLevelType w:val="singleLevel"/>
    <w:tmpl w:val="ADA667F4"/>
    <w:lvl w:ilvl="0">
      <w:start w:val="1"/>
      <w:numFmt w:val="upperLetter"/>
      <w:lvlText w:val="%1."/>
      <w:lvlJc w:val="left"/>
      <w:pPr>
        <w:tabs>
          <w:tab w:val="num" w:pos="360"/>
        </w:tabs>
        <w:ind w:left="360" w:hanging="360"/>
      </w:pPr>
      <w:rPr>
        <w:rFonts w:hint="default"/>
      </w:rPr>
    </w:lvl>
  </w:abstractNum>
  <w:abstractNum w:abstractNumId="42">
    <w:nsid w:val="779E3787"/>
    <w:multiLevelType w:val="singleLevel"/>
    <w:tmpl w:val="0C5688F6"/>
    <w:lvl w:ilvl="0">
      <w:start w:val="1"/>
      <w:numFmt w:val="decimal"/>
      <w:lvlText w:val="%1."/>
      <w:lvlJc w:val="left"/>
      <w:pPr>
        <w:tabs>
          <w:tab w:val="num" w:pos="360"/>
        </w:tabs>
        <w:ind w:left="360" w:hanging="360"/>
      </w:pPr>
      <w:rPr>
        <w:b w:val="0"/>
        <w:i w:val="0"/>
        <w:sz w:val="24"/>
      </w:rPr>
    </w:lvl>
  </w:abstractNum>
  <w:abstractNum w:abstractNumId="43">
    <w:nsid w:val="793A03E0"/>
    <w:multiLevelType w:val="multilevel"/>
    <w:tmpl w:val="92B6BA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C3D0209"/>
    <w:multiLevelType w:val="hybridMultilevel"/>
    <w:tmpl w:val="8904CFC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nsid w:val="7D114AF4"/>
    <w:multiLevelType w:val="singleLevel"/>
    <w:tmpl w:val="9ABCB2E6"/>
    <w:lvl w:ilvl="0">
      <w:start w:val="10"/>
      <w:numFmt w:val="decimal"/>
      <w:lvlText w:val="%1."/>
      <w:lvlJc w:val="left"/>
      <w:pPr>
        <w:tabs>
          <w:tab w:val="num" w:pos="540"/>
        </w:tabs>
        <w:ind w:left="540" w:hanging="540"/>
      </w:pPr>
      <w:rPr>
        <w:rFonts w:hint="default"/>
      </w:rPr>
    </w:lvl>
  </w:abstractNum>
  <w:abstractNum w:abstractNumId="46">
    <w:nsid w:val="7F9E1436"/>
    <w:multiLevelType w:val="singleLevel"/>
    <w:tmpl w:val="FDBE0046"/>
    <w:lvl w:ilvl="0">
      <w:start w:val="1"/>
      <w:numFmt w:val="upperLetter"/>
      <w:lvlText w:val="%1."/>
      <w:lvlJc w:val="left"/>
      <w:pPr>
        <w:tabs>
          <w:tab w:val="num" w:pos="360"/>
        </w:tabs>
        <w:ind w:left="360" w:hanging="360"/>
      </w:pPr>
      <w:rPr>
        <w:rFonts w:hint="default"/>
      </w:rPr>
    </w:lvl>
  </w:abstractNum>
  <w:num w:numId="1">
    <w:abstractNumId w:val="9"/>
  </w:num>
  <w:num w:numId="2">
    <w:abstractNumId w:val="1"/>
  </w:num>
  <w:num w:numId="3">
    <w:abstractNumId w:val="0"/>
  </w:num>
  <w:num w:numId="4">
    <w:abstractNumId w:val="25"/>
  </w:num>
  <w:num w:numId="5">
    <w:abstractNumId w:val="26"/>
  </w:num>
  <w:num w:numId="6">
    <w:abstractNumId w:val="18"/>
  </w:num>
  <w:num w:numId="7">
    <w:abstractNumId w:val="10"/>
  </w:num>
  <w:num w:numId="8">
    <w:abstractNumId w:val="39"/>
  </w:num>
  <w:num w:numId="9">
    <w:abstractNumId w:val="4"/>
  </w:num>
  <w:num w:numId="10">
    <w:abstractNumId w:val="17"/>
  </w:num>
  <w:num w:numId="11">
    <w:abstractNumId w:val="31"/>
  </w:num>
  <w:num w:numId="12">
    <w:abstractNumId w:val="8"/>
  </w:num>
  <w:num w:numId="13">
    <w:abstractNumId w:val="37"/>
  </w:num>
  <w:num w:numId="14">
    <w:abstractNumId w:val="19"/>
  </w:num>
  <w:num w:numId="15">
    <w:abstractNumId w:val="45"/>
  </w:num>
  <w:num w:numId="16">
    <w:abstractNumId w:val="42"/>
  </w:num>
  <w:num w:numId="17">
    <w:abstractNumId w:val="12"/>
  </w:num>
  <w:num w:numId="18">
    <w:abstractNumId w:val="34"/>
  </w:num>
  <w:num w:numId="19">
    <w:abstractNumId w:val="5"/>
  </w:num>
  <w:num w:numId="20">
    <w:abstractNumId w:val="6"/>
  </w:num>
  <w:num w:numId="21">
    <w:abstractNumId w:val="32"/>
  </w:num>
  <w:num w:numId="22">
    <w:abstractNumId w:val="3"/>
  </w:num>
  <w:num w:numId="23">
    <w:abstractNumId w:val="46"/>
  </w:num>
  <w:num w:numId="24">
    <w:abstractNumId w:val="41"/>
  </w:num>
  <w:num w:numId="25">
    <w:abstractNumId w:val="22"/>
  </w:num>
  <w:num w:numId="26">
    <w:abstractNumId w:val="16"/>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9"/>
  </w:num>
  <w:num w:numId="30">
    <w:abstractNumId w:val="14"/>
  </w:num>
  <w:num w:numId="31">
    <w:abstractNumId w:val="28"/>
  </w:num>
  <w:num w:numId="32">
    <w:abstractNumId w:val="38"/>
  </w:num>
  <w:num w:numId="33">
    <w:abstractNumId w:val="24"/>
  </w:num>
  <w:num w:numId="34">
    <w:abstractNumId w:val="13"/>
  </w:num>
  <w:num w:numId="35">
    <w:abstractNumId w:val="23"/>
  </w:num>
  <w:num w:numId="36">
    <w:abstractNumId w:val="33"/>
  </w:num>
  <w:num w:numId="37">
    <w:abstractNumId w:val="11"/>
  </w:num>
  <w:num w:numId="38">
    <w:abstractNumId w:val="21"/>
  </w:num>
  <w:num w:numId="39">
    <w:abstractNumId w:val="15"/>
  </w:num>
  <w:num w:numId="40">
    <w:abstractNumId w:val="35"/>
  </w:num>
  <w:num w:numId="41">
    <w:abstractNumId w:val="36"/>
  </w:num>
  <w:num w:numId="42">
    <w:abstractNumId w:val="20"/>
  </w:num>
  <w:num w:numId="43">
    <w:abstractNumId w:val="30"/>
  </w:num>
  <w:num w:numId="44">
    <w:abstractNumId w:val="40"/>
  </w:num>
  <w:num w:numId="45">
    <w:abstractNumId w:val="44"/>
  </w:num>
  <w:num w:numId="46">
    <w:abstractNumId w:val="2"/>
  </w:num>
  <w:num w:numId="47">
    <w:abstractNumId w:val="2"/>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proofState w:spelling="clean" w:grammar="clean"/>
  <w:attachedTemplate r:id="rId1"/>
  <w:defaultTabStop w:val="709"/>
  <w:hyphenationZone w:val="357"/>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DMET and DMPK&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B45EA"/>
    <w:rsid w:val="0000131D"/>
    <w:rsid w:val="00003590"/>
    <w:rsid w:val="0000756F"/>
    <w:rsid w:val="0000765F"/>
    <w:rsid w:val="00013416"/>
    <w:rsid w:val="0001655A"/>
    <w:rsid w:val="00022AA3"/>
    <w:rsid w:val="00023714"/>
    <w:rsid w:val="00031E8A"/>
    <w:rsid w:val="0003400F"/>
    <w:rsid w:val="000345F9"/>
    <w:rsid w:val="00037850"/>
    <w:rsid w:val="00040615"/>
    <w:rsid w:val="0004254C"/>
    <w:rsid w:val="00044DD5"/>
    <w:rsid w:val="0004714A"/>
    <w:rsid w:val="00051BE0"/>
    <w:rsid w:val="000534E4"/>
    <w:rsid w:val="00055B9F"/>
    <w:rsid w:val="000614DF"/>
    <w:rsid w:val="000615A1"/>
    <w:rsid w:val="000668A4"/>
    <w:rsid w:val="00067F77"/>
    <w:rsid w:val="00067FDC"/>
    <w:rsid w:val="000716C8"/>
    <w:rsid w:val="00073A7E"/>
    <w:rsid w:val="00074C60"/>
    <w:rsid w:val="000824FF"/>
    <w:rsid w:val="00082F9F"/>
    <w:rsid w:val="000846E7"/>
    <w:rsid w:val="000854D6"/>
    <w:rsid w:val="00095C9C"/>
    <w:rsid w:val="000968F6"/>
    <w:rsid w:val="000A03F1"/>
    <w:rsid w:val="000A18F4"/>
    <w:rsid w:val="000A7932"/>
    <w:rsid w:val="000B019B"/>
    <w:rsid w:val="000B029A"/>
    <w:rsid w:val="000B0F6A"/>
    <w:rsid w:val="000B14A2"/>
    <w:rsid w:val="000B2269"/>
    <w:rsid w:val="000B75A9"/>
    <w:rsid w:val="000C00F2"/>
    <w:rsid w:val="000C068C"/>
    <w:rsid w:val="000C2847"/>
    <w:rsid w:val="000C2FCF"/>
    <w:rsid w:val="000C2FE4"/>
    <w:rsid w:val="000C3128"/>
    <w:rsid w:val="000C3910"/>
    <w:rsid w:val="000C63C0"/>
    <w:rsid w:val="000D1D08"/>
    <w:rsid w:val="000D41CE"/>
    <w:rsid w:val="000D72BD"/>
    <w:rsid w:val="000D7ADC"/>
    <w:rsid w:val="000E4FB3"/>
    <w:rsid w:val="000F0371"/>
    <w:rsid w:val="000F1FEC"/>
    <w:rsid w:val="000F4754"/>
    <w:rsid w:val="00103CE8"/>
    <w:rsid w:val="001041AC"/>
    <w:rsid w:val="00107959"/>
    <w:rsid w:val="001116BF"/>
    <w:rsid w:val="00115BBE"/>
    <w:rsid w:val="00121838"/>
    <w:rsid w:val="00125462"/>
    <w:rsid w:val="00125DBE"/>
    <w:rsid w:val="00127308"/>
    <w:rsid w:val="00127E27"/>
    <w:rsid w:val="0013050C"/>
    <w:rsid w:val="00130D5C"/>
    <w:rsid w:val="00133402"/>
    <w:rsid w:val="00140E54"/>
    <w:rsid w:val="00144A4D"/>
    <w:rsid w:val="001507EB"/>
    <w:rsid w:val="001512C6"/>
    <w:rsid w:val="001527B3"/>
    <w:rsid w:val="00160E40"/>
    <w:rsid w:val="001627CE"/>
    <w:rsid w:val="00162DA1"/>
    <w:rsid w:val="00166961"/>
    <w:rsid w:val="00174C78"/>
    <w:rsid w:val="001752E4"/>
    <w:rsid w:val="00175711"/>
    <w:rsid w:val="00177932"/>
    <w:rsid w:val="001811C1"/>
    <w:rsid w:val="001845BF"/>
    <w:rsid w:val="0018521F"/>
    <w:rsid w:val="00187465"/>
    <w:rsid w:val="0018780D"/>
    <w:rsid w:val="0019132D"/>
    <w:rsid w:val="001962CA"/>
    <w:rsid w:val="001967B4"/>
    <w:rsid w:val="001A0831"/>
    <w:rsid w:val="001A0962"/>
    <w:rsid w:val="001A16A4"/>
    <w:rsid w:val="001A27DA"/>
    <w:rsid w:val="001C00D1"/>
    <w:rsid w:val="001C0EED"/>
    <w:rsid w:val="001D2A8E"/>
    <w:rsid w:val="001D3196"/>
    <w:rsid w:val="001D6441"/>
    <w:rsid w:val="001E5E23"/>
    <w:rsid w:val="001F08F1"/>
    <w:rsid w:val="001F0A3B"/>
    <w:rsid w:val="001F0E70"/>
    <w:rsid w:val="001F1E88"/>
    <w:rsid w:val="001F4E1E"/>
    <w:rsid w:val="00203C0B"/>
    <w:rsid w:val="00204CB2"/>
    <w:rsid w:val="00206680"/>
    <w:rsid w:val="00207DF7"/>
    <w:rsid w:val="00210172"/>
    <w:rsid w:val="002104AA"/>
    <w:rsid w:val="00222A2F"/>
    <w:rsid w:val="00230F95"/>
    <w:rsid w:val="002342E9"/>
    <w:rsid w:val="0024506E"/>
    <w:rsid w:val="0024726C"/>
    <w:rsid w:val="002519D0"/>
    <w:rsid w:val="00251AD3"/>
    <w:rsid w:val="00257E7A"/>
    <w:rsid w:val="00261E47"/>
    <w:rsid w:val="00264655"/>
    <w:rsid w:val="002654A0"/>
    <w:rsid w:val="00265DC9"/>
    <w:rsid w:val="002664EA"/>
    <w:rsid w:val="00271134"/>
    <w:rsid w:val="002817E7"/>
    <w:rsid w:val="00281F70"/>
    <w:rsid w:val="002855F8"/>
    <w:rsid w:val="00296879"/>
    <w:rsid w:val="002A0D69"/>
    <w:rsid w:val="002A313C"/>
    <w:rsid w:val="002A4807"/>
    <w:rsid w:val="002B138C"/>
    <w:rsid w:val="002B20FA"/>
    <w:rsid w:val="002B322A"/>
    <w:rsid w:val="002B4CE0"/>
    <w:rsid w:val="002C32FE"/>
    <w:rsid w:val="002C41B2"/>
    <w:rsid w:val="002D60AE"/>
    <w:rsid w:val="002D7BAC"/>
    <w:rsid w:val="002E1F29"/>
    <w:rsid w:val="002E4C6F"/>
    <w:rsid w:val="00303934"/>
    <w:rsid w:val="00303B06"/>
    <w:rsid w:val="00305804"/>
    <w:rsid w:val="003058A4"/>
    <w:rsid w:val="00307302"/>
    <w:rsid w:val="00310530"/>
    <w:rsid w:val="00313053"/>
    <w:rsid w:val="0031308D"/>
    <w:rsid w:val="00314B12"/>
    <w:rsid w:val="003261E0"/>
    <w:rsid w:val="00332EF2"/>
    <w:rsid w:val="003423A1"/>
    <w:rsid w:val="003430C9"/>
    <w:rsid w:val="00345778"/>
    <w:rsid w:val="00351BB6"/>
    <w:rsid w:val="0035269D"/>
    <w:rsid w:val="00354901"/>
    <w:rsid w:val="0035543D"/>
    <w:rsid w:val="00363028"/>
    <w:rsid w:val="00363095"/>
    <w:rsid w:val="00365B7E"/>
    <w:rsid w:val="00365DD9"/>
    <w:rsid w:val="00366531"/>
    <w:rsid w:val="00375F78"/>
    <w:rsid w:val="00381D32"/>
    <w:rsid w:val="003863B3"/>
    <w:rsid w:val="00394779"/>
    <w:rsid w:val="00394D24"/>
    <w:rsid w:val="00396260"/>
    <w:rsid w:val="00396845"/>
    <w:rsid w:val="003A36E0"/>
    <w:rsid w:val="003A3A52"/>
    <w:rsid w:val="003A5976"/>
    <w:rsid w:val="003A7571"/>
    <w:rsid w:val="003A77D4"/>
    <w:rsid w:val="003B01F4"/>
    <w:rsid w:val="003B0BEA"/>
    <w:rsid w:val="003B3572"/>
    <w:rsid w:val="003B4014"/>
    <w:rsid w:val="003B5536"/>
    <w:rsid w:val="003B6F78"/>
    <w:rsid w:val="003B7754"/>
    <w:rsid w:val="003C5601"/>
    <w:rsid w:val="003D19DB"/>
    <w:rsid w:val="003D6BC1"/>
    <w:rsid w:val="003D7CDF"/>
    <w:rsid w:val="003E1A67"/>
    <w:rsid w:val="003E2CB5"/>
    <w:rsid w:val="003E5E27"/>
    <w:rsid w:val="003F10A5"/>
    <w:rsid w:val="003F22CB"/>
    <w:rsid w:val="003F29B1"/>
    <w:rsid w:val="003F750B"/>
    <w:rsid w:val="00400F48"/>
    <w:rsid w:val="0040666F"/>
    <w:rsid w:val="00412AA4"/>
    <w:rsid w:val="0042003D"/>
    <w:rsid w:val="00422137"/>
    <w:rsid w:val="00422D70"/>
    <w:rsid w:val="00425442"/>
    <w:rsid w:val="00426B23"/>
    <w:rsid w:val="004271BE"/>
    <w:rsid w:val="0043050F"/>
    <w:rsid w:val="00433B66"/>
    <w:rsid w:val="0043688E"/>
    <w:rsid w:val="0043786C"/>
    <w:rsid w:val="004405C4"/>
    <w:rsid w:val="00440710"/>
    <w:rsid w:val="0044109D"/>
    <w:rsid w:val="004411A2"/>
    <w:rsid w:val="0044305B"/>
    <w:rsid w:val="0044694F"/>
    <w:rsid w:val="00455274"/>
    <w:rsid w:val="00455492"/>
    <w:rsid w:val="00461738"/>
    <w:rsid w:val="00474CF8"/>
    <w:rsid w:val="004807CF"/>
    <w:rsid w:val="004821A9"/>
    <w:rsid w:val="00482C45"/>
    <w:rsid w:val="004843D7"/>
    <w:rsid w:val="00484D02"/>
    <w:rsid w:val="00485C79"/>
    <w:rsid w:val="00487160"/>
    <w:rsid w:val="00490500"/>
    <w:rsid w:val="004A441E"/>
    <w:rsid w:val="004A4F6C"/>
    <w:rsid w:val="004A4FA9"/>
    <w:rsid w:val="004A5E38"/>
    <w:rsid w:val="004A60C0"/>
    <w:rsid w:val="004B2111"/>
    <w:rsid w:val="004B45EA"/>
    <w:rsid w:val="004B5568"/>
    <w:rsid w:val="004C0BE1"/>
    <w:rsid w:val="004C22FD"/>
    <w:rsid w:val="004C33D2"/>
    <w:rsid w:val="004C4066"/>
    <w:rsid w:val="004C71AB"/>
    <w:rsid w:val="004D1F27"/>
    <w:rsid w:val="004D6A9D"/>
    <w:rsid w:val="004E1801"/>
    <w:rsid w:val="004E4355"/>
    <w:rsid w:val="004E6471"/>
    <w:rsid w:val="004F171F"/>
    <w:rsid w:val="004F23D2"/>
    <w:rsid w:val="004F2B5E"/>
    <w:rsid w:val="00511D82"/>
    <w:rsid w:val="005138FB"/>
    <w:rsid w:val="0052033E"/>
    <w:rsid w:val="00520D62"/>
    <w:rsid w:val="00521264"/>
    <w:rsid w:val="00521750"/>
    <w:rsid w:val="00524E26"/>
    <w:rsid w:val="00532B1F"/>
    <w:rsid w:val="00543765"/>
    <w:rsid w:val="00544678"/>
    <w:rsid w:val="005472B1"/>
    <w:rsid w:val="00550584"/>
    <w:rsid w:val="005512B0"/>
    <w:rsid w:val="0055684E"/>
    <w:rsid w:val="00557392"/>
    <w:rsid w:val="00557C9F"/>
    <w:rsid w:val="0056028A"/>
    <w:rsid w:val="00560D46"/>
    <w:rsid w:val="00561835"/>
    <w:rsid w:val="0056195A"/>
    <w:rsid w:val="0056195B"/>
    <w:rsid w:val="00567B9D"/>
    <w:rsid w:val="00571545"/>
    <w:rsid w:val="00574B1B"/>
    <w:rsid w:val="00577927"/>
    <w:rsid w:val="00577A04"/>
    <w:rsid w:val="00581187"/>
    <w:rsid w:val="00584BB8"/>
    <w:rsid w:val="005874CE"/>
    <w:rsid w:val="005950ED"/>
    <w:rsid w:val="005959A6"/>
    <w:rsid w:val="005A3D68"/>
    <w:rsid w:val="005B0085"/>
    <w:rsid w:val="005B0603"/>
    <w:rsid w:val="005B0CB2"/>
    <w:rsid w:val="005B5FB1"/>
    <w:rsid w:val="005C0F7A"/>
    <w:rsid w:val="005C5C00"/>
    <w:rsid w:val="005E05C1"/>
    <w:rsid w:val="005E0626"/>
    <w:rsid w:val="005E0CAF"/>
    <w:rsid w:val="005E5F07"/>
    <w:rsid w:val="005E7F85"/>
    <w:rsid w:val="005F1F79"/>
    <w:rsid w:val="005F744C"/>
    <w:rsid w:val="0060235F"/>
    <w:rsid w:val="00604094"/>
    <w:rsid w:val="006109C1"/>
    <w:rsid w:val="00610E29"/>
    <w:rsid w:val="0061372A"/>
    <w:rsid w:val="006151C5"/>
    <w:rsid w:val="00620CCB"/>
    <w:rsid w:val="0062162A"/>
    <w:rsid w:val="0062732E"/>
    <w:rsid w:val="00630A1E"/>
    <w:rsid w:val="00631935"/>
    <w:rsid w:val="00641952"/>
    <w:rsid w:val="00643A3D"/>
    <w:rsid w:val="0065128B"/>
    <w:rsid w:val="00653DAE"/>
    <w:rsid w:val="006546B4"/>
    <w:rsid w:val="00655316"/>
    <w:rsid w:val="00655A1C"/>
    <w:rsid w:val="00656684"/>
    <w:rsid w:val="00656E1D"/>
    <w:rsid w:val="00661CAB"/>
    <w:rsid w:val="0066260D"/>
    <w:rsid w:val="00663981"/>
    <w:rsid w:val="00676ABD"/>
    <w:rsid w:val="00676F05"/>
    <w:rsid w:val="0069533A"/>
    <w:rsid w:val="0069685A"/>
    <w:rsid w:val="006A739A"/>
    <w:rsid w:val="006B0254"/>
    <w:rsid w:val="006B49B4"/>
    <w:rsid w:val="006B6DC8"/>
    <w:rsid w:val="006C0962"/>
    <w:rsid w:val="006D4D77"/>
    <w:rsid w:val="006D5CBF"/>
    <w:rsid w:val="006E1CC3"/>
    <w:rsid w:val="006E436C"/>
    <w:rsid w:val="006E5301"/>
    <w:rsid w:val="006F17DC"/>
    <w:rsid w:val="006F19B6"/>
    <w:rsid w:val="006F42DA"/>
    <w:rsid w:val="006F7ABC"/>
    <w:rsid w:val="0070517F"/>
    <w:rsid w:val="007056BF"/>
    <w:rsid w:val="00710883"/>
    <w:rsid w:val="0071175B"/>
    <w:rsid w:val="0071553F"/>
    <w:rsid w:val="00716B34"/>
    <w:rsid w:val="00720628"/>
    <w:rsid w:val="0072182F"/>
    <w:rsid w:val="00724399"/>
    <w:rsid w:val="00725F43"/>
    <w:rsid w:val="00732273"/>
    <w:rsid w:val="00736E2E"/>
    <w:rsid w:val="00741242"/>
    <w:rsid w:val="0074603D"/>
    <w:rsid w:val="00746EEA"/>
    <w:rsid w:val="007517B7"/>
    <w:rsid w:val="0075245D"/>
    <w:rsid w:val="00764D0E"/>
    <w:rsid w:val="0076534E"/>
    <w:rsid w:val="00765FC2"/>
    <w:rsid w:val="00766121"/>
    <w:rsid w:val="0076649A"/>
    <w:rsid w:val="00766602"/>
    <w:rsid w:val="00767B1C"/>
    <w:rsid w:val="0077075A"/>
    <w:rsid w:val="007724A0"/>
    <w:rsid w:val="0077382F"/>
    <w:rsid w:val="00774BA3"/>
    <w:rsid w:val="0077507C"/>
    <w:rsid w:val="00780FD8"/>
    <w:rsid w:val="007832C4"/>
    <w:rsid w:val="00796928"/>
    <w:rsid w:val="007A04D3"/>
    <w:rsid w:val="007A0D53"/>
    <w:rsid w:val="007A540F"/>
    <w:rsid w:val="007A6B8E"/>
    <w:rsid w:val="007A6E37"/>
    <w:rsid w:val="007A7FEF"/>
    <w:rsid w:val="007B3CDF"/>
    <w:rsid w:val="007B6D15"/>
    <w:rsid w:val="007C05E7"/>
    <w:rsid w:val="007C1B94"/>
    <w:rsid w:val="007C4317"/>
    <w:rsid w:val="007D68B3"/>
    <w:rsid w:val="007D7736"/>
    <w:rsid w:val="007E0261"/>
    <w:rsid w:val="007E4C70"/>
    <w:rsid w:val="007E7597"/>
    <w:rsid w:val="007F1520"/>
    <w:rsid w:val="007F5FFD"/>
    <w:rsid w:val="007F770A"/>
    <w:rsid w:val="008001F3"/>
    <w:rsid w:val="0080533D"/>
    <w:rsid w:val="008208E4"/>
    <w:rsid w:val="00821171"/>
    <w:rsid w:val="008212E3"/>
    <w:rsid w:val="00821868"/>
    <w:rsid w:val="00823AAF"/>
    <w:rsid w:val="00824583"/>
    <w:rsid w:val="00825B06"/>
    <w:rsid w:val="008317EB"/>
    <w:rsid w:val="008343AE"/>
    <w:rsid w:val="00836AD7"/>
    <w:rsid w:val="00836C97"/>
    <w:rsid w:val="00840869"/>
    <w:rsid w:val="008432A2"/>
    <w:rsid w:val="00843869"/>
    <w:rsid w:val="008439C7"/>
    <w:rsid w:val="00844E4B"/>
    <w:rsid w:val="00845E19"/>
    <w:rsid w:val="00851FB8"/>
    <w:rsid w:val="008543E1"/>
    <w:rsid w:val="00854F44"/>
    <w:rsid w:val="0085623C"/>
    <w:rsid w:val="0085735A"/>
    <w:rsid w:val="0086569A"/>
    <w:rsid w:val="0086697D"/>
    <w:rsid w:val="008737AD"/>
    <w:rsid w:val="008759D5"/>
    <w:rsid w:val="00876717"/>
    <w:rsid w:val="00881A72"/>
    <w:rsid w:val="0088250F"/>
    <w:rsid w:val="008833BE"/>
    <w:rsid w:val="0088461E"/>
    <w:rsid w:val="008856C5"/>
    <w:rsid w:val="008877C7"/>
    <w:rsid w:val="00891A6D"/>
    <w:rsid w:val="00893F1C"/>
    <w:rsid w:val="008970CF"/>
    <w:rsid w:val="008A0B23"/>
    <w:rsid w:val="008B1FD9"/>
    <w:rsid w:val="008C0B61"/>
    <w:rsid w:val="008C2E28"/>
    <w:rsid w:val="008C6218"/>
    <w:rsid w:val="008D3BCF"/>
    <w:rsid w:val="008D4DAD"/>
    <w:rsid w:val="008D6B4A"/>
    <w:rsid w:val="008E3D45"/>
    <w:rsid w:val="008F1718"/>
    <w:rsid w:val="008F234C"/>
    <w:rsid w:val="008F350C"/>
    <w:rsid w:val="00901893"/>
    <w:rsid w:val="009044DA"/>
    <w:rsid w:val="009045E0"/>
    <w:rsid w:val="0091002E"/>
    <w:rsid w:val="00913B15"/>
    <w:rsid w:val="0091412E"/>
    <w:rsid w:val="009150C0"/>
    <w:rsid w:val="00920CC9"/>
    <w:rsid w:val="00921C92"/>
    <w:rsid w:val="00923EF8"/>
    <w:rsid w:val="00926DF1"/>
    <w:rsid w:val="009273B1"/>
    <w:rsid w:val="009330EB"/>
    <w:rsid w:val="00934DC3"/>
    <w:rsid w:val="00935B35"/>
    <w:rsid w:val="00941FDA"/>
    <w:rsid w:val="00950099"/>
    <w:rsid w:val="009500A0"/>
    <w:rsid w:val="009525E3"/>
    <w:rsid w:val="009560E6"/>
    <w:rsid w:val="00961B2A"/>
    <w:rsid w:val="00963215"/>
    <w:rsid w:val="00963978"/>
    <w:rsid w:val="00967F8A"/>
    <w:rsid w:val="00970DB6"/>
    <w:rsid w:val="00972BEC"/>
    <w:rsid w:val="009802C4"/>
    <w:rsid w:val="00981D9E"/>
    <w:rsid w:val="00982AB5"/>
    <w:rsid w:val="00983B37"/>
    <w:rsid w:val="009902B7"/>
    <w:rsid w:val="00995F56"/>
    <w:rsid w:val="00997AED"/>
    <w:rsid w:val="009A2779"/>
    <w:rsid w:val="009A42DA"/>
    <w:rsid w:val="009A4A03"/>
    <w:rsid w:val="009B60A4"/>
    <w:rsid w:val="009B66E3"/>
    <w:rsid w:val="009C1ECE"/>
    <w:rsid w:val="009D0988"/>
    <w:rsid w:val="009D0F0D"/>
    <w:rsid w:val="009D1C48"/>
    <w:rsid w:val="009D2DE6"/>
    <w:rsid w:val="009E11D7"/>
    <w:rsid w:val="009E1512"/>
    <w:rsid w:val="009E484D"/>
    <w:rsid w:val="009E59B0"/>
    <w:rsid w:val="009F0E2F"/>
    <w:rsid w:val="00A0153A"/>
    <w:rsid w:val="00A033F7"/>
    <w:rsid w:val="00A064BA"/>
    <w:rsid w:val="00A06710"/>
    <w:rsid w:val="00A14BA9"/>
    <w:rsid w:val="00A15AAE"/>
    <w:rsid w:val="00A17459"/>
    <w:rsid w:val="00A264CE"/>
    <w:rsid w:val="00A31C83"/>
    <w:rsid w:val="00A43230"/>
    <w:rsid w:val="00A51CF7"/>
    <w:rsid w:val="00A52210"/>
    <w:rsid w:val="00A60435"/>
    <w:rsid w:val="00A62847"/>
    <w:rsid w:val="00A66664"/>
    <w:rsid w:val="00A666F1"/>
    <w:rsid w:val="00A70CC9"/>
    <w:rsid w:val="00A70DDB"/>
    <w:rsid w:val="00A73987"/>
    <w:rsid w:val="00A7516F"/>
    <w:rsid w:val="00A82060"/>
    <w:rsid w:val="00A83EF5"/>
    <w:rsid w:val="00A858D8"/>
    <w:rsid w:val="00A9028D"/>
    <w:rsid w:val="00A9097F"/>
    <w:rsid w:val="00A91C31"/>
    <w:rsid w:val="00A91D03"/>
    <w:rsid w:val="00A925B2"/>
    <w:rsid w:val="00A953F3"/>
    <w:rsid w:val="00A95B7C"/>
    <w:rsid w:val="00A95D21"/>
    <w:rsid w:val="00A95DB9"/>
    <w:rsid w:val="00AA46C1"/>
    <w:rsid w:val="00AA4C20"/>
    <w:rsid w:val="00AB2842"/>
    <w:rsid w:val="00AB4F00"/>
    <w:rsid w:val="00AB7E74"/>
    <w:rsid w:val="00AC1C1F"/>
    <w:rsid w:val="00AC5806"/>
    <w:rsid w:val="00AD121D"/>
    <w:rsid w:val="00AD3871"/>
    <w:rsid w:val="00AD49E1"/>
    <w:rsid w:val="00AD6048"/>
    <w:rsid w:val="00AD7E94"/>
    <w:rsid w:val="00AE16A4"/>
    <w:rsid w:val="00AE36E3"/>
    <w:rsid w:val="00AE3B5C"/>
    <w:rsid w:val="00AE3E6D"/>
    <w:rsid w:val="00AE4FA5"/>
    <w:rsid w:val="00AE5D46"/>
    <w:rsid w:val="00AE6681"/>
    <w:rsid w:val="00AF0E4F"/>
    <w:rsid w:val="00AF3CC7"/>
    <w:rsid w:val="00AF6977"/>
    <w:rsid w:val="00AF7AA4"/>
    <w:rsid w:val="00B00720"/>
    <w:rsid w:val="00B036C1"/>
    <w:rsid w:val="00B14590"/>
    <w:rsid w:val="00B17C8D"/>
    <w:rsid w:val="00B20E69"/>
    <w:rsid w:val="00B273E2"/>
    <w:rsid w:val="00B309CE"/>
    <w:rsid w:val="00B31B48"/>
    <w:rsid w:val="00B326AE"/>
    <w:rsid w:val="00B379AC"/>
    <w:rsid w:val="00B37B9D"/>
    <w:rsid w:val="00B4474C"/>
    <w:rsid w:val="00B5112E"/>
    <w:rsid w:val="00B60E1C"/>
    <w:rsid w:val="00B614E7"/>
    <w:rsid w:val="00B617E7"/>
    <w:rsid w:val="00B651F6"/>
    <w:rsid w:val="00B65882"/>
    <w:rsid w:val="00B66A4C"/>
    <w:rsid w:val="00B66E06"/>
    <w:rsid w:val="00B70C42"/>
    <w:rsid w:val="00B73918"/>
    <w:rsid w:val="00B755D1"/>
    <w:rsid w:val="00B765F0"/>
    <w:rsid w:val="00B77C3D"/>
    <w:rsid w:val="00B8173A"/>
    <w:rsid w:val="00B8646B"/>
    <w:rsid w:val="00B874D5"/>
    <w:rsid w:val="00B876F0"/>
    <w:rsid w:val="00BA0547"/>
    <w:rsid w:val="00BA4795"/>
    <w:rsid w:val="00BA67E5"/>
    <w:rsid w:val="00BB09A1"/>
    <w:rsid w:val="00BB0ED8"/>
    <w:rsid w:val="00BE13B8"/>
    <w:rsid w:val="00BE21ED"/>
    <w:rsid w:val="00BE2F51"/>
    <w:rsid w:val="00BE47D1"/>
    <w:rsid w:val="00BF284B"/>
    <w:rsid w:val="00BF3D30"/>
    <w:rsid w:val="00BF57DA"/>
    <w:rsid w:val="00C03709"/>
    <w:rsid w:val="00C04D7F"/>
    <w:rsid w:val="00C05A48"/>
    <w:rsid w:val="00C07C69"/>
    <w:rsid w:val="00C07E3D"/>
    <w:rsid w:val="00C07F6C"/>
    <w:rsid w:val="00C12900"/>
    <w:rsid w:val="00C14000"/>
    <w:rsid w:val="00C15637"/>
    <w:rsid w:val="00C16844"/>
    <w:rsid w:val="00C204A1"/>
    <w:rsid w:val="00C25982"/>
    <w:rsid w:val="00C32159"/>
    <w:rsid w:val="00C3652D"/>
    <w:rsid w:val="00C40894"/>
    <w:rsid w:val="00C4119B"/>
    <w:rsid w:val="00C44D20"/>
    <w:rsid w:val="00C470BA"/>
    <w:rsid w:val="00C501EA"/>
    <w:rsid w:val="00C519CF"/>
    <w:rsid w:val="00C53FC1"/>
    <w:rsid w:val="00C54C7F"/>
    <w:rsid w:val="00C57AA6"/>
    <w:rsid w:val="00C61785"/>
    <w:rsid w:val="00C61F95"/>
    <w:rsid w:val="00C62558"/>
    <w:rsid w:val="00C634D4"/>
    <w:rsid w:val="00C670B1"/>
    <w:rsid w:val="00C72D1A"/>
    <w:rsid w:val="00C74F68"/>
    <w:rsid w:val="00C81041"/>
    <w:rsid w:val="00C83CB0"/>
    <w:rsid w:val="00C84317"/>
    <w:rsid w:val="00C84AF6"/>
    <w:rsid w:val="00C87852"/>
    <w:rsid w:val="00C92B6B"/>
    <w:rsid w:val="00C938A9"/>
    <w:rsid w:val="00C94746"/>
    <w:rsid w:val="00C96EFF"/>
    <w:rsid w:val="00CA0159"/>
    <w:rsid w:val="00CA3BD6"/>
    <w:rsid w:val="00CB4F73"/>
    <w:rsid w:val="00CC29CA"/>
    <w:rsid w:val="00CC5A86"/>
    <w:rsid w:val="00CD0F87"/>
    <w:rsid w:val="00CD6B5E"/>
    <w:rsid w:val="00CD7438"/>
    <w:rsid w:val="00CE10F5"/>
    <w:rsid w:val="00CE178E"/>
    <w:rsid w:val="00CE44FC"/>
    <w:rsid w:val="00CF1248"/>
    <w:rsid w:val="00CF167E"/>
    <w:rsid w:val="00CF72DA"/>
    <w:rsid w:val="00CF7B9E"/>
    <w:rsid w:val="00D00E0C"/>
    <w:rsid w:val="00D02D0C"/>
    <w:rsid w:val="00D03739"/>
    <w:rsid w:val="00D044A5"/>
    <w:rsid w:val="00D11DA4"/>
    <w:rsid w:val="00D145FA"/>
    <w:rsid w:val="00D160BC"/>
    <w:rsid w:val="00D16A77"/>
    <w:rsid w:val="00D239F6"/>
    <w:rsid w:val="00D2427B"/>
    <w:rsid w:val="00D263CC"/>
    <w:rsid w:val="00D312C4"/>
    <w:rsid w:val="00D32CA1"/>
    <w:rsid w:val="00D32F2D"/>
    <w:rsid w:val="00D351FE"/>
    <w:rsid w:val="00D3678E"/>
    <w:rsid w:val="00D36FAA"/>
    <w:rsid w:val="00D401AE"/>
    <w:rsid w:val="00D443CE"/>
    <w:rsid w:val="00D467C1"/>
    <w:rsid w:val="00D51636"/>
    <w:rsid w:val="00D516E9"/>
    <w:rsid w:val="00D524A4"/>
    <w:rsid w:val="00D539C4"/>
    <w:rsid w:val="00D53B00"/>
    <w:rsid w:val="00D56BDC"/>
    <w:rsid w:val="00D62E2E"/>
    <w:rsid w:val="00D637CC"/>
    <w:rsid w:val="00D638CD"/>
    <w:rsid w:val="00D63DFF"/>
    <w:rsid w:val="00D6418C"/>
    <w:rsid w:val="00D675AE"/>
    <w:rsid w:val="00D67CAF"/>
    <w:rsid w:val="00D86100"/>
    <w:rsid w:val="00D86342"/>
    <w:rsid w:val="00D86E83"/>
    <w:rsid w:val="00D91ABA"/>
    <w:rsid w:val="00D9635C"/>
    <w:rsid w:val="00DA4BEC"/>
    <w:rsid w:val="00DB25B4"/>
    <w:rsid w:val="00DB6FC4"/>
    <w:rsid w:val="00DC09E8"/>
    <w:rsid w:val="00DC4B75"/>
    <w:rsid w:val="00DC5DB1"/>
    <w:rsid w:val="00DC6EBB"/>
    <w:rsid w:val="00DC7D0A"/>
    <w:rsid w:val="00DD41A8"/>
    <w:rsid w:val="00DD5921"/>
    <w:rsid w:val="00DD5D5F"/>
    <w:rsid w:val="00DE306C"/>
    <w:rsid w:val="00DE39E2"/>
    <w:rsid w:val="00DE6C53"/>
    <w:rsid w:val="00DF209A"/>
    <w:rsid w:val="00E02273"/>
    <w:rsid w:val="00E04ECB"/>
    <w:rsid w:val="00E0764E"/>
    <w:rsid w:val="00E20E3C"/>
    <w:rsid w:val="00E23426"/>
    <w:rsid w:val="00E264E3"/>
    <w:rsid w:val="00E267A6"/>
    <w:rsid w:val="00E32EB2"/>
    <w:rsid w:val="00E3417E"/>
    <w:rsid w:val="00E347C3"/>
    <w:rsid w:val="00E3529A"/>
    <w:rsid w:val="00E37819"/>
    <w:rsid w:val="00E50702"/>
    <w:rsid w:val="00E51DC3"/>
    <w:rsid w:val="00E5234D"/>
    <w:rsid w:val="00E536AD"/>
    <w:rsid w:val="00E55306"/>
    <w:rsid w:val="00E63806"/>
    <w:rsid w:val="00E65A0C"/>
    <w:rsid w:val="00E6774F"/>
    <w:rsid w:val="00E70BDD"/>
    <w:rsid w:val="00E72B08"/>
    <w:rsid w:val="00E730FF"/>
    <w:rsid w:val="00E81434"/>
    <w:rsid w:val="00E8363E"/>
    <w:rsid w:val="00E86091"/>
    <w:rsid w:val="00E86EDF"/>
    <w:rsid w:val="00E95088"/>
    <w:rsid w:val="00E96C5C"/>
    <w:rsid w:val="00EB0FF4"/>
    <w:rsid w:val="00EC0709"/>
    <w:rsid w:val="00EC1792"/>
    <w:rsid w:val="00EC4065"/>
    <w:rsid w:val="00EC429B"/>
    <w:rsid w:val="00EC4AC1"/>
    <w:rsid w:val="00ED10C2"/>
    <w:rsid w:val="00ED1302"/>
    <w:rsid w:val="00ED1BC5"/>
    <w:rsid w:val="00ED72E7"/>
    <w:rsid w:val="00ED7BA8"/>
    <w:rsid w:val="00ED7BD4"/>
    <w:rsid w:val="00EE1FF3"/>
    <w:rsid w:val="00EE2505"/>
    <w:rsid w:val="00EE4623"/>
    <w:rsid w:val="00EE4E77"/>
    <w:rsid w:val="00EE6E42"/>
    <w:rsid w:val="00EF3392"/>
    <w:rsid w:val="00EF65A6"/>
    <w:rsid w:val="00EF6A57"/>
    <w:rsid w:val="00F15F97"/>
    <w:rsid w:val="00F16A84"/>
    <w:rsid w:val="00F23765"/>
    <w:rsid w:val="00F23A87"/>
    <w:rsid w:val="00F24650"/>
    <w:rsid w:val="00F247FA"/>
    <w:rsid w:val="00F279D1"/>
    <w:rsid w:val="00F32533"/>
    <w:rsid w:val="00F3453D"/>
    <w:rsid w:val="00F34DB7"/>
    <w:rsid w:val="00F457C4"/>
    <w:rsid w:val="00F46DFC"/>
    <w:rsid w:val="00F51715"/>
    <w:rsid w:val="00F5366E"/>
    <w:rsid w:val="00F5607C"/>
    <w:rsid w:val="00F561E3"/>
    <w:rsid w:val="00F571F1"/>
    <w:rsid w:val="00F602D3"/>
    <w:rsid w:val="00F60362"/>
    <w:rsid w:val="00F60833"/>
    <w:rsid w:val="00F65856"/>
    <w:rsid w:val="00F67270"/>
    <w:rsid w:val="00F71F74"/>
    <w:rsid w:val="00F728F9"/>
    <w:rsid w:val="00F81E31"/>
    <w:rsid w:val="00F82E50"/>
    <w:rsid w:val="00F86090"/>
    <w:rsid w:val="00F96AD4"/>
    <w:rsid w:val="00F970B9"/>
    <w:rsid w:val="00FA0130"/>
    <w:rsid w:val="00FA20E5"/>
    <w:rsid w:val="00FA45EA"/>
    <w:rsid w:val="00FB1EA8"/>
    <w:rsid w:val="00FB2F92"/>
    <w:rsid w:val="00FB54CD"/>
    <w:rsid w:val="00FB6459"/>
    <w:rsid w:val="00FC07EE"/>
    <w:rsid w:val="00FC545D"/>
    <w:rsid w:val="00FC5C65"/>
    <w:rsid w:val="00FC6525"/>
    <w:rsid w:val="00FD16ED"/>
    <w:rsid w:val="00FD434C"/>
    <w:rsid w:val="00FD5F86"/>
    <w:rsid w:val="00FE0A85"/>
    <w:rsid w:val="00FE34CE"/>
    <w:rsid w:val="00FF178A"/>
    <w:rsid w:val="00FF5597"/>
    <w:rsid w:val="00FF71F3"/>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4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40" w:lineRule="atLeast"/>
      <w:jc w:val="both"/>
    </w:pPr>
    <w:rPr>
      <w:rFonts w:ascii="Calibri" w:eastAsia="Times New Roman" w:hAnsi="Calibri"/>
      <w:color w:val="000000"/>
      <w:sz w:val="24"/>
      <w:lang w:val="en-US" w:eastAsia="de-DE"/>
    </w:rPr>
  </w:style>
  <w:style w:type="paragraph" w:styleId="Heading1">
    <w:name w:val="heading 1"/>
    <w:aliases w:val="x"/>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Normal"/>
    <w:next w:val="Normal"/>
    <w:qFormat/>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qFormat/>
    <w:pPr>
      <w:ind w:left="708"/>
      <w:outlineLvl w:val="4"/>
    </w:pPr>
    <w:rPr>
      <w:b/>
    </w:rPr>
  </w:style>
  <w:style w:type="paragraph" w:styleId="Heading6">
    <w:name w:val="heading 6"/>
    <w:basedOn w:val="Normal"/>
    <w:next w:val="Normal"/>
    <w:qFormat/>
    <w:pPr>
      <w:ind w:left="708"/>
      <w:outlineLvl w:val="5"/>
    </w:pPr>
    <w:rPr>
      <w:u w:val="single"/>
    </w:rPr>
  </w:style>
  <w:style w:type="paragraph" w:styleId="Heading7">
    <w:name w:val="heading 7"/>
    <w:basedOn w:val="Normal"/>
    <w:next w:val="Normal"/>
    <w:qFormat/>
    <w:pPr>
      <w:ind w:left="708"/>
      <w:outlineLvl w:val="6"/>
    </w:pPr>
    <w:rPr>
      <w:i/>
    </w:rPr>
  </w:style>
  <w:style w:type="paragraph" w:styleId="Heading8">
    <w:name w:val="heading 8"/>
    <w:basedOn w:val="Normal"/>
    <w:next w:val="Normal"/>
    <w:qFormat/>
    <w:pPr>
      <w:ind w:left="708"/>
      <w:outlineLvl w:val="7"/>
    </w:pPr>
    <w:rPr>
      <w:i/>
    </w:rPr>
  </w:style>
  <w:style w:type="paragraph" w:styleId="Heading9">
    <w:name w:val="heading 9"/>
    <w:basedOn w:val="Normal"/>
    <w:next w:val="Normal"/>
    <w:qForma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KeywordTitle">
    <w:name w:val="Paper Keyword Title"/>
    <w:basedOn w:val="Normal"/>
    <w:qFormat/>
    <w:pPr>
      <w:spacing w:before="135" w:line="240" w:lineRule="auto"/>
      <w:ind w:left="570"/>
    </w:pPr>
    <w:rPr>
      <w:b/>
    </w:rPr>
  </w:style>
  <w:style w:type="character" w:customStyle="1" w:styleId="PaperKeywordTitleChar">
    <w:name w:val="Paper Keyword Title Char"/>
    <w:rPr>
      <w:rFonts w:ascii="Calibri" w:eastAsia="Times New Roman" w:hAnsi="Calibri"/>
      <w:b/>
      <w:color w:val="000000"/>
      <w:sz w:val="24"/>
      <w:lang w:val="en-US" w:eastAsia="de-DE"/>
    </w:rPr>
  </w:style>
  <w:style w:type="paragraph" w:customStyle="1" w:styleId="PaperKeyword">
    <w:name w:val="Paper Keyword"/>
    <w:basedOn w:val="Normal"/>
    <w:qFormat/>
    <w:pPr>
      <w:spacing w:after="135" w:line="240" w:lineRule="auto"/>
      <w:ind w:left="570"/>
    </w:pPr>
  </w:style>
  <w:style w:type="character" w:customStyle="1" w:styleId="PaperKeywordChar">
    <w:name w:val="Paper Keyword Char"/>
    <w:rPr>
      <w:rFonts w:ascii="Calibri" w:eastAsia="Times New Roman" w:hAnsi="Calibri"/>
      <w:color w:val="000000"/>
      <w:sz w:val="24"/>
      <w:lang w:val="en-US" w:eastAsia="de-DE"/>
    </w:rPr>
  </w:style>
  <w:style w:type="paragraph" w:customStyle="1" w:styleId="PaperCorrespondingAuthor">
    <w:name w:val="Paper Corresponding Author"/>
    <w:basedOn w:val="Normal"/>
    <w:qFormat/>
    <w:pPr>
      <w:spacing w:before="120" w:line="240" w:lineRule="auto"/>
    </w:pPr>
    <w:rPr>
      <w:sz w:val="22"/>
      <w:szCs w:val="22"/>
    </w:rPr>
  </w:style>
  <w:style w:type="character" w:customStyle="1" w:styleId="PaperCorrespondingAuthorChar">
    <w:name w:val="Paper Corresponding Author Char"/>
    <w:rPr>
      <w:rFonts w:ascii="Calibri" w:eastAsia="Times New Roman" w:hAnsi="Calibri"/>
      <w:color w:val="000000"/>
      <w:sz w:val="22"/>
      <w:szCs w:val="22"/>
      <w:lang w:val="en-US" w:eastAsia="de-D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Header">
    <w:name w:val="header"/>
    <w:basedOn w:val="Normal"/>
    <w:unhideWhenUsed/>
    <w:pPr>
      <w:tabs>
        <w:tab w:val="center" w:pos="4513"/>
        <w:tab w:val="right" w:pos="9026"/>
      </w:tabs>
    </w:pPr>
  </w:style>
  <w:style w:type="character" w:customStyle="1" w:styleId="HeaderChar">
    <w:name w:val="Header Char"/>
    <w:rPr>
      <w:rFonts w:ascii="Calibri" w:eastAsia="Times New Roman" w:hAnsi="Calibri"/>
      <w:color w:val="000000"/>
      <w:sz w:val="24"/>
      <w:lang w:val="en-US" w:eastAsia="de-DE"/>
    </w:rPr>
  </w:style>
  <w:style w:type="paragraph" w:styleId="Footer">
    <w:name w:val="footer"/>
    <w:basedOn w:val="Normal"/>
    <w:uiPriority w:val="99"/>
    <w:unhideWhenUsed/>
    <w:pPr>
      <w:tabs>
        <w:tab w:val="center" w:pos="4513"/>
        <w:tab w:val="right" w:pos="9026"/>
      </w:tabs>
    </w:pPr>
  </w:style>
  <w:style w:type="character" w:customStyle="1" w:styleId="FooterChar">
    <w:name w:val="Footer Char"/>
    <w:uiPriority w:val="99"/>
    <w:rPr>
      <w:rFonts w:ascii="Calibri" w:eastAsia="Times New Roman" w:hAnsi="Calibri"/>
      <w:color w:val="000000"/>
      <w:sz w:val="24"/>
      <w:lang w:val="en-US" w:eastAsia="de-DE"/>
    </w:rPr>
  </w:style>
  <w:style w:type="paragraph" w:customStyle="1" w:styleId="ADMETabstractheading">
    <w:name w:val="ADMET abstract heading"/>
    <w:basedOn w:val="Normal"/>
    <w:qFormat/>
    <w:rsid w:val="00767B1C"/>
    <w:pPr>
      <w:spacing w:before="135" w:after="60" w:line="240" w:lineRule="auto"/>
      <w:ind w:left="425" w:right="510"/>
    </w:pPr>
    <w:rPr>
      <w:b/>
      <w:i/>
      <w:szCs w:val="24"/>
      <w:lang w:val="en-GB" w:eastAsia="en-US"/>
    </w:rPr>
  </w:style>
  <w:style w:type="paragraph" w:customStyle="1" w:styleId="PaperType">
    <w:name w:val="Paper Type"/>
    <w:basedOn w:val="Normal"/>
    <w:qFormat/>
    <w:pPr>
      <w:spacing w:after="240" w:line="240" w:lineRule="auto"/>
      <w:jc w:val="left"/>
    </w:pPr>
    <w:rPr>
      <w:i/>
      <w:szCs w:val="24"/>
    </w:rPr>
  </w:style>
  <w:style w:type="paragraph" w:customStyle="1" w:styleId="PaperTitle">
    <w:name w:val="Paper Title"/>
    <w:basedOn w:val="Normal"/>
    <w:qFormat/>
    <w:pPr>
      <w:spacing w:line="240" w:lineRule="auto"/>
      <w:jc w:val="left"/>
    </w:pPr>
    <w:rPr>
      <w:b/>
      <w:sz w:val="36"/>
      <w:szCs w:val="36"/>
    </w:rPr>
  </w:style>
  <w:style w:type="character" w:customStyle="1" w:styleId="PaperTitleChar">
    <w:name w:val="Paper Title Char"/>
    <w:rPr>
      <w:rFonts w:ascii="Calibri" w:eastAsia="Times New Roman" w:hAnsi="Calibri"/>
      <w:b/>
      <w:color w:val="000000"/>
      <w:sz w:val="36"/>
      <w:szCs w:val="36"/>
      <w:lang w:val="en-US" w:eastAsia="de-DE"/>
    </w:rPr>
  </w:style>
  <w:style w:type="character" w:customStyle="1" w:styleId="PaperTypeChar">
    <w:name w:val="Paper Type Char"/>
    <w:rPr>
      <w:rFonts w:ascii="Calibri" w:eastAsia="Times New Roman" w:hAnsi="Calibri"/>
      <w:i/>
      <w:color w:val="000000"/>
      <w:sz w:val="24"/>
      <w:szCs w:val="24"/>
      <w:lang w:val="en-US" w:eastAsia="de-DE"/>
    </w:rPr>
  </w:style>
  <w:style w:type="paragraph" w:customStyle="1" w:styleId="PaperAuthors">
    <w:name w:val="Paper Authors"/>
    <w:basedOn w:val="Normal"/>
    <w:qFormat/>
    <w:pPr>
      <w:spacing w:before="120" w:line="240" w:lineRule="auto"/>
      <w:jc w:val="left"/>
    </w:pPr>
    <w:rPr>
      <w:sz w:val="28"/>
      <w:szCs w:val="28"/>
      <w:lang w:val="it-IT"/>
    </w:rPr>
  </w:style>
  <w:style w:type="character" w:customStyle="1" w:styleId="PaperAuthorsChar">
    <w:name w:val="Paper Authors Char"/>
    <w:rPr>
      <w:rFonts w:ascii="Calibri" w:eastAsia="Times New Roman" w:hAnsi="Calibri"/>
      <w:color w:val="000000"/>
      <w:sz w:val="28"/>
      <w:szCs w:val="28"/>
      <w:lang w:val="it-IT" w:eastAsia="de-DE"/>
    </w:rPr>
  </w:style>
  <w:style w:type="paragraph" w:customStyle="1" w:styleId="PaperH1">
    <w:name w:val="Paper H1"/>
    <w:basedOn w:val="Normal"/>
    <w:qFormat/>
    <w:pPr>
      <w:keepNext/>
      <w:spacing w:before="270" w:after="60" w:line="240" w:lineRule="auto"/>
    </w:pPr>
    <w:rPr>
      <w:b/>
      <w:szCs w:val="24"/>
      <w:lang w:eastAsia="en-US"/>
    </w:rPr>
  </w:style>
  <w:style w:type="paragraph" w:customStyle="1" w:styleId="PaperTable">
    <w:name w:val="Paper Table"/>
    <w:basedOn w:val="Normal"/>
    <w:qFormat/>
    <w:pPr>
      <w:keepNext/>
      <w:spacing w:before="240" w:after="120" w:line="240" w:lineRule="auto"/>
      <w:jc w:val="center"/>
    </w:pPr>
    <w:rPr>
      <w:i/>
      <w:sz w:val="22"/>
      <w:szCs w:val="22"/>
    </w:rPr>
  </w:style>
  <w:style w:type="character" w:customStyle="1" w:styleId="PaperH1Char">
    <w:name w:val="Paper H1 Char"/>
    <w:rPr>
      <w:rFonts w:ascii="Calibri" w:eastAsia="Times New Roman" w:hAnsi="Calibri"/>
      <w:b/>
      <w:color w:val="000000"/>
      <w:sz w:val="24"/>
      <w:szCs w:val="24"/>
      <w:lang w:val="en-US" w:eastAsia="en-US"/>
    </w:rPr>
  </w:style>
  <w:style w:type="paragraph" w:customStyle="1" w:styleId="PaperFig">
    <w:name w:val="Paper Fig"/>
    <w:basedOn w:val="Normal"/>
    <w:qFormat/>
    <w:pPr>
      <w:spacing w:before="45" w:after="240" w:line="240" w:lineRule="auto"/>
      <w:ind w:left="570" w:right="585"/>
      <w:jc w:val="center"/>
    </w:pPr>
    <w:rPr>
      <w:bCs/>
      <w:i/>
      <w:sz w:val="22"/>
      <w:szCs w:val="22"/>
      <w:lang w:eastAsia="en-US"/>
    </w:rPr>
  </w:style>
  <w:style w:type="character" w:customStyle="1" w:styleId="PaperFigChar">
    <w:name w:val="Paper Fig Char"/>
    <w:rPr>
      <w:rFonts w:ascii="Calibri" w:eastAsia="Times New Roman" w:hAnsi="Calibri"/>
      <w:bCs/>
      <w:i/>
      <w:color w:val="000000"/>
      <w:sz w:val="22"/>
      <w:szCs w:val="22"/>
      <w:lang w:val="en-US" w:eastAsia="en-US"/>
    </w:rPr>
  </w:style>
  <w:style w:type="character" w:customStyle="1" w:styleId="PaperTableChar">
    <w:name w:val="Paper Table Char"/>
    <w:rPr>
      <w:rFonts w:ascii="Calibri" w:eastAsia="Times New Roman" w:hAnsi="Calibri"/>
      <w:i/>
      <w:color w:val="000000"/>
      <w:sz w:val="22"/>
      <w:szCs w:val="22"/>
      <w:lang w:val="en-US" w:eastAsia="de-DE"/>
    </w:rPr>
  </w:style>
  <w:style w:type="paragraph" w:customStyle="1" w:styleId="PaperH2">
    <w:name w:val="Paper H2"/>
    <w:basedOn w:val="Normal"/>
    <w:qFormat/>
    <w:pPr>
      <w:keepNext/>
      <w:spacing w:before="180" w:after="60" w:line="240" w:lineRule="auto"/>
    </w:pPr>
    <w:rPr>
      <w:i/>
      <w:szCs w:val="24"/>
    </w:rPr>
  </w:style>
  <w:style w:type="paragraph" w:customStyle="1" w:styleId="PaperParagraf">
    <w:name w:val="Paper Paragraf"/>
    <w:basedOn w:val="Normal"/>
    <w:qFormat/>
    <w:pPr>
      <w:spacing w:line="320" w:lineRule="exact"/>
      <w:ind w:firstLine="285"/>
    </w:pPr>
    <w:rPr>
      <w:szCs w:val="24"/>
      <w:lang w:eastAsia="en-US"/>
    </w:rPr>
  </w:style>
  <w:style w:type="character" w:customStyle="1" w:styleId="PaperH2Char">
    <w:name w:val="Paper H2 Char"/>
    <w:rPr>
      <w:rFonts w:ascii="Calibri" w:eastAsia="Times New Roman" w:hAnsi="Calibri"/>
      <w:i/>
      <w:color w:val="000000"/>
      <w:sz w:val="24"/>
      <w:szCs w:val="24"/>
      <w:lang w:val="en-US" w:eastAsia="de-DE"/>
    </w:rPr>
  </w:style>
  <w:style w:type="character" w:customStyle="1" w:styleId="PaperParagrafChar">
    <w:name w:val="Paper Paragraf Char"/>
    <w:rPr>
      <w:rFonts w:ascii="Calibri" w:eastAsia="Times New Roman" w:hAnsi="Calibri"/>
      <w:color w:val="000000"/>
      <w:sz w:val="24"/>
      <w:szCs w:val="24"/>
      <w:lang w:val="en-US" w:eastAsia="en-US"/>
    </w:rPr>
  </w:style>
  <w:style w:type="paragraph" w:customStyle="1" w:styleId="PaperAbstractTitle">
    <w:name w:val="Paper Abstract Title"/>
    <w:basedOn w:val="Normal"/>
    <w:qFormat/>
    <w:pPr>
      <w:spacing w:before="135" w:line="240" w:lineRule="auto"/>
      <w:ind w:left="510" w:right="510"/>
    </w:pPr>
    <w:rPr>
      <w:b/>
      <w:i/>
      <w:szCs w:val="24"/>
      <w:lang w:eastAsia="en-US"/>
    </w:rPr>
  </w:style>
  <w:style w:type="character" w:customStyle="1" w:styleId="PaperAbstractTitleChar">
    <w:name w:val="Paper Abstract Title Char"/>
    <w:rPr>
      <w:rFonts w:ascii="Calibri" w:eastAsia="Times New Roman" w:hAnsi="Calibri"/>
      <w:b/>
      <w:i/>
      <w:color w:val="000000"/>
      <w:sz w:val="24"/>
      <w:szCs w:val="24"/>
      <w:lang w:val="en-US" w:eastAsia="en-US"/>
    </w:rPr>
  </w:style>
  <w:style w:type="paragraph" w:customStyle="1" w:styleId="PaperDates">
    <w:name w:val="Paper Dates"/>
    <w:basedOn w:val="Normal"/>
    <w:qFormat/>
    <w:pPr>
      <w:pBdr>
        <w:bottom w:val="single" w:sz="6" w:space="1" w:color="auto"/>
      </w:pBdr>
      <w:spacing w:line="240" w:lineRule="auto"/>
    </w:pPr>
    <w:rPr>
      <w:sz w:val="20"/>
    </w:rPr>
  </w:style>
  <w:style w:type="character" w:customStyle="1" w:styleId="PaperDatesChar">
    <w:name w:val="Paper Dates Char"/>
    <w:rPr>
      <w:rFonts w:ascii="Calibri" w:eastAsia="Times New Roman" w:hAnsi="Calibri"/>
      <w:color w:val="000000"/>
      <w:lang w:val="en-US" w:eastAsia="de-DE"/>
    </w:rPr>
  </w:style>
  <w:style w:type="paragraph" w:customStyle="1" w:styleId="PaperLit">
    <w:name w:val="Paper Lit"/>
    <w:basedOn w:val="Normal"/>
    <w:qFormat/>
    <w:pPr>
      <w:numPr>
        <w:numId w:val="47"/>
      </w:numPr>
      <w:tabs>
        <w:tab w:val="left" w:pos="709"/>
      </w:tabs>
      <w:spacing w:line="240" w:lineRule="auto"/>
      <w:ind w:left="709" w:hanging="283"/>
      <w:jc w:val="left"/>
    </w:pPr>
    <w:rPr>
      <w:color w:val="auto"/>
    </w:rPr>
  </w:style>
  <w:style w:type="character" w:customStyle="1" w:styleId="PaperLitChar">
    <w:name w:val="Paper Lit Char"/>
    <w:rPr>
      <w:rFonts w:ascii="Calibri" w:eastAsia="Times New Roman" w:hAnsi="Calibri"/>
      <w:sz w:val="24"/>
      <w:lang w:val="en-US" w:eastAsia="de-DE"/>
    </w:rPr>
  </w:style>
  <w:style w:type="paragraph" w:customStyle="1" w:styleId="PaperHeader">
    <w:name w:val="Paper Header"/>
    <w:basedOn w:val="Normal"/>
    <w:qFormat/>
    <w:rPr>
      <w:i/>
      <w:sz w:val="22"/>
      <w:szCs w:val="22"/>
    </w:rPr>
  </w:style>
  <w:style w:type="character" w:customStyle="1" w:styleId="PaperHeaderChar">
    <w:name w:val="Paper Header Char"/>
    <w:rPr>
      <w:rFonts w:ascii="Calibri" w:eastAsia="Times New Roman" w:hAnsi="Calibri"/>
      <w:i/>
      <w:color w:val="000000"/>
      <w:sz w:val="22"/>
      <w:szCs w:val="22"/>
      <w:lang w:val="en-US" w:eastAsia="de-DE"/>
    </w:rPr>
  </w:style>
  <w:style w:type="paragraph" w:customStyle="1" w:styleId="PaperAbstract">
    <w:name w:val="Paper Abstract"/>
    <w:basedOn w:val="Normal"/>
    <w:qFormat/>
    <w:pPr>
      <w:spacing w:line="240" w:lineRule="auto"/>
      <w:ind w:left="510" w:right="510"/>
    </w:pPr>
    <w:rPr>
      <w:i/>
      <w:szCs w:val="24"/>
      <w:lang w:eastAsia="en-US"/>
    </w:rPr>
  </w:style>
  <w:style w:type="character" w:customStyle="1" w:styleId="PaperAbstractChar">
    <w:name w:val="Paper Abstract Char"/>
    <w:rPr>
      <w:rFonts w:ascii="Calibri" w:eastAsia="Times New Roman" w:hAnsi="Calibri"/>
      <w:i/>
      <w:color w:val="000000"/>
      <w:sz w:val="24"/>
      <w:szCs w:val="24"/>
      <w:lang w:val="en-US" w:eastAsia="en-US"/>
    </w:rPr>
  </w:style>
  <w:style w:type="paragraph" w:customStyle="1" w:styleId="PaperAffiliation">
    <w:name w:val="Paper Affiliation"/>
    <w:basedOn w:val="Normal"/>
    <w:qFormat/>
    <w:pPr>
      <w:spacing w:before="120" w:line="240" w:lineRule="auto"/>
      <w:jc w:val="left"/>
    </w:pPr>
    <w:rPr>
      <w:i/>
      <w:szCs w:val="24"/>
    </w:rPr>
  </w:style>
  <w:style w:type="character" w:customStyle="1" w:styleId="PaperAffiliationChar">
    <w:name w:val="Paper Affiliation Char"/>
    <w:rPr>
      <w:rFonts w:ascii="Calibri" w:eastAsia="Times New Roman" w:hAnsi="Calibri"/>
      <w:i/>
      <w:color w:val="000000"/>
      <w:sz w:val="24"/>
      <w:szCs w:val="24"/>
      <w:lang w:val="en-US" w:eastAsia="de-DE"/>
    </w:rPr>
  </w:style>
  <w:style w:type="paragraph" w:customStyle="1" w:styleId="PaperAcknow">
    <w:name w:val="Paper Acknow"/>
    <w:basedOn w:val="Normal"/>
    <w:qFormat/>
    <w:pPr>
      <w:keepNext/>
      <w:spacing w:before="180" w:after="60" w:line="240" w:lineRule="auto"/>
    </w:pPr>
    <w:rPr>
      <w:b/>
      <w:i/>
      <w:szCs w:val="24"/>
      <w:lang w:eastAsia="en-US"/>
    </w:rPr>
  </w:style>
  <w:style w:type="paragraph" w:customStyle="1" w:styleId="PaperEq">
    <w:name w:val="Paper Eq"/>
    <w:basedOn w:val="PaperParagraf"/>
    <w:qFormat/>
    <w:pPr>
      <w:tabs>
        <w:tab w:val="right" w:pos="9356"/>
      </w:tabs>
      <w:spacing w:before="135" w:after="135" w:line="240" w:lineRule="auto"/>
      <w:ind w:firstLine="284"/>
    </w:pPr>
  </w:style>
  <w:style w:type="character" w:customStyle="1" w:styleId="PaperAcknowChar">
    <w:name w:val="Paper Acknow Char"/>
    <w:rPr>
      <w:rFonts w:ascii="Calibri" w:eastAsia="Times New Roman" w:hAnsi="Calibri"/>
      <w:b/>
      <w:i/>
      <w:color w:val="000000"/>
      <w:sz w:val="24"/>
      <w:szCs w:val="24"/>
      <w:lang w:val="en-US" w:eastAsia="en-US"/>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paragraph" w:styleId="BalloonText">
    <w:name w:val="Balloon Text"/>
    <w:basedOn w:val="Normal"/>
    <w:semiHidden/>
    <w:unhideWhenUsed/>
    <w:pPr>
      <w:spacing w:line="240" w:lineRule="auto"/>
    </w:pPr>
    <w:rPr>
      <w:rFonts w:ascii="Tahoma" w:hAnsi="Tahoma"/>
      <w:sz w:val="16"/>
      <w:szCs w:val="16"/>
    </w:rPr>
  </w:style>
  <w:style w:type="character" w:customStyle="1" w:styleId="BalloonTextChar">
    <w:name w:val="Balloon Text Char"/>
    <w:semiHidden/>
    <w:rPr>
      <w:rFonts w:ascii="Tahoma" w:eastAsia="Times New Roman" w:hAnsi="Tahoma" w:cs="Tahoma"/>
      <w:color w:val="000000"/>
      <w:sz w:val="16"/>
      <w:szCs w:val="16"/>
      <w:lang w:val="en-US" w:eastAsia="de-DE"/>
    </w:r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Calibri" w:eastAsia="Times New Roman" w:hAnsi="Calibri"/>
      <w:color w:val="000000"/>
      <w:lang w:val="en-US" w:eastAsia="de-DE"/>
    </w:rPr>
  </w:style>
  <w:style w:type="character" w:customStyle="1" w:styleId="CommentSubjectChar">
    <w:name w:val="Comment Subject Char"/>
    <w:semiHidden/>
    <w:rPr>
      <w:rFonts w:ascii="Calibri" w:eastAsia="Times New Roman" w:hAnsi="Calibri"/>
      <w:b/>
      <w:bCs/>
      <w:color w:val="000000"/>
      <w:lang w:val="en-US" w:eastAsia="de-DE"/>
    </w:rPr>
  </w:style>
  <w:style w:type="character" w:styleId="LineNumber">
    <w:name w:val="line number"/>
    <w:basedOn w:val="DefaultParagraphFont"/>
    <w:semiHidden/>
    <w:unhideWhenUsed/>
  </w:style>
  <w:style w:type="paragraph" w:styleId="ListParagraph">
    <w:name w:val="List Paragraph"/>
    <w:basedOn w:val="Normal"/>
    <w:qFormat/>
    <w:pPr>
      <w:spacing w:after="200" w:line="276" w:lineRule="auto"/>
      <w:ind w:left="720"/>
      <w:contextualSpacing/>
      <w:jc w:val="left"/>
    </w:pPr>
    <w:rPr>
      <w:rFonts w:eastAsia="Calibri"/>
      <w:color w:val="auto"/>
      <w:sz w:val="22"/>
      <w:szCs w:val="22"/>
      <w:lang w:val="ru-RU" w:eastAsia="en-US"/>
    </w:rPr>
  </w:style>
  <w:style w:type="paragraph" w:customStyle="1" w:styleId="ADMETabstracttext">
    <w:name w:val="ADMET abstract text"/>
    <w:basedOn w:val="Normal"/>
    <w:qFormat/>
    <w:rsid w:val="00767B1C"/>
    <w:pPr>
      <w:spacing w:before="120" w:line="240" w:lineRule="auto"/>
      <w:ind w:left="510" w:right="431"/>
    </w:pPr>
    <w:rPr>
      <w:i/>
      <w:sz w:val="20"/>
      <w:lang w:eastAsia="en-US"/>
    </w:rPr>
  </w:style>
  <w:style w:type="paragraph" w:customStyle="1" w:styleId="ADMETaffiilationfirst">
    <w:name w:val="ADMET affiilation first"/>
    <w:basedOn w:val="Normal"/>
    <w:qFormat/>
    <w:rsid w:val="00767B1C"/>
    <w:pPr>
      <w:spacing w:before="120" w:line="240" w:lineRule="auto"/>
    </w:pPr>
    <w:rPr>
      <w:i/>
      <w:sz w:val="20"/>
      <w:lang w:val="en-GB"/>
    </w:rPr>
  </w:style>
  <w:style w:type="paragraph" w:customStyle="1" w:styleId="ADMETaffiliationrest">
    <w:name w:val="ADMET affiliation rest"/>
    <w:basedOn w:val="Normal"/>
    <w:qFormat/>
    <w:rsid w:val="00767B1C"/>
    <w:pPr>
      <w:spacing w:line="240" w:lineRule="auto"/>
    </w:pPr>
    <w:rPr>
      <w:i/>
      <w:sz w:val="20"/>
    </w:rPr>
  </w:style>
  <w:style w:type="paragraph" w:customStyle="1" w:styleId="ADMETauthors">
    <w:name w:val="ADMET authors"/>
    <w:basedOn w:val="Normal"/>
    <w:qFormat/>
    <w:rsid w:val="00767B1C"/>
    <w:pPr>
      <w:spacing w:before="120" w:line="240" w:lineRule="auto"/>
      <w:jc w:val="left"/>
    </w:pPr>
    <w:rPr>
      <w:sz w:val="28"/>
      <w:szCs w:val="28"/>
      <w:lang w:val="en-GB"/>
    </w:rPr>
  </w:style>
  <w:style w:type="paragraph" w:customStyle="1" w:styleId="ADMETcorrespondingauthor">
    <w:name w:val="ADMET corresponding author"/>
    <w:basedOn w:val="Normal"/>
    <w:qFormat/>
    <w:rsid w:val="00767B1C"/>
    <w:pPr>
      <w:spacing w:before="120" w:line="240" w:lineRule="auto"/>
    </w:pPr>
    <w:rPr>
      <w:sz w:val="20"/>
      <w:lang w:val="en-GB"/>
    </w:rPr>
  </w:style>
  <w:style w:type="paragraph" w:customStyle="1" w:styleId="ADMETdates">
    <w:name w:val="ADMET dates"/>
    <w:basedOn w:val="Normal"/>
    <w:qFormat/>
    <w:rsid w:val="00767B1C"/>
    <w:pPr>
      <w:spacing w:before="120" w:line="240" w:lineRule="auto"/>
    </w:pPr>
    <w:rPr>
      <w:sz w:val="18"/>
      <w:szCs w:val="18"/>
      <w:lang w:val="en-GB"/>
    </w:rPr>
  </w:style>
  <w:style w:type="paragraph" w:customStyle="1" w:styleId="ADMETfigurecaptions">
    <w:name w:val="ADMET figure captions"/>
    <w:basedOn w:val="Normal"/>
    <w:qFormat/>
    <w:rsid w:val="00767B1C"/>
    <w:pPr>
      <w:spacing w:before="60" w:after="120" w:line="240" w:lineRule="auto"/>
      <w:ind w:left="284" w:right="425"/>
      <w:jc w:val="center"/>
    </w:pPr>
    <w:rPr>
      <w:sz w:val="20"/>
    </w:rPr>
  </w:style>
  <w:style w:type="paragraph" w:customStyle="1" w:styleId="ADMETheading">
    <w:name w:val="ADMET heading"/>
    <w:basedOn w:val="ListParagraph"/>
    <w:qFormat/>
    <w:rsid w:val="00767B1C"/>
    <w:pPr>
      <w:spacing w:before="270" w:after="60" w:line="240" w:lineRule="auto"/>
      <w:ind w:left="0"/>
      <w:jc w:val="both"/>
    </w:pPr>
    <w:rPr>
      <w:b/>
      <w:lang w:val="en-US"/>
    </w:rPr>
  </w:style>
  <w:style w:type="paragraph" w:customStyle="1" w:styleId="ADMETkeywords">
    <w:name w:val="ADMET keywords"/>
    <w:basedOn w:val="Normal"/>
    <w:qFormat/>
    <w:rsid w:val="00767B1C"/>
    <w:pPr>
      <w:spacing w:after="60" w:line="280" w:lineRule="exact"/>
      <w:ind w:left="510" w:right="510"/>
    </w:pPr>
    <w:rPr>
      <w:sz w:val="20"/>
      <w:lang w:val="en-GB"/>
    </w:rPr>
  </w:style>
  <w:style w:type="paragraph" w:customStyle="1" w:styleId="ADMETkeywordsheading">
    <w:name w:val="ADMET keywords heading"/>
    <w:basedOn w:val="Normal"/>
    <w:qFormat/>
    <w:rsid w:val="00767B1C"/>
    <w:pPr>
      <w:spacing w:before="135" w:after="60" w:line="240" w:lineRule="auto"/>
      <w:ind w:left="573"/>
    </w:pPr>
    <w:rPr>
      <w:b/>
      <w:lang w:val="en-GB"/>
    </w:rPr>
  </w:style>
  <w:style w:type="paragraph" w:customStyle="1" w:styleId="ADMETreferences">
    <w:name w:val="ADMET references"/>
    <w:basedOn w:val="Normal"/>
    <w:qFormat/>
    <w:rsid w:val="00767B1C"/>
    <w:pPr>
      <w:numPr>
        <w:numId w:val="48"/>
      </w:numPr>
      <w:tabs>
        <w:tab w:val="left" w:pos="180"/>
      </w:tabs>
      <w:spacing w:before="60" w:line="240" w:lineRule="auto"/>
    </w:pPr>
    <w:rPr>
      <w:color w:val="auto"/>
      <w:sz w:val="22"/>
      <w:szCs w:val="22"/>
    </w:rPr>
  </w:style>
  <w:style w:type="paragraph" w:customStyle="1" w:styleId="ADMETsubheading">
    <w:name w:val="ADMET subheading"/>
    <w:basedOn w:val="Normal"/>
    <w:qFormat/>
    <w:rsid w:val="00767B1C"/>
    <w:pPr>
      <w:widowControl w:val="0"/>
      <w:spacing w:before="180" w:after="60" w:line="240" w:lineRule="auto"/>
    </w:pPr>
    <w:rPr>
      <w:i/>
      <w:sz w:val="22"/>
      <w:szCs w:val="22"/>
      <w:lang w:eastAsia="en-US"/>
    </w:rPr>
  </w:style>
  <w:style w:type="paragraph" w:customStyle="1" w:styleId="ADMETtablecaptions">
    <w:name w:val="ADMET table captions"/>
    <w:basedOn w:val="Normal"/>
    <w:qFormat/>
    <w:rsid w:val="00767B1C"/>
    <w:pPr>
      <w:widowControl w:val="0"/>
      <w:spacing w:before="180" w:line="240" w:lineRule="auto"/>
      <w:ind w:left="142"/>
      <w:jc w:val="left"/>
    </w:pPr>
    <w:rPr>
      <w:sz w:val="20"/>
    </w:rPr>
  </w:style>
  <w:style w:type="paragraph" w:customStyle="1" w:styleId="ADMETtext">
    <w:name w:val="ADMET text"/>
    <w:basedOn w:val="Normal"/>
    <w:qFormat/>
    <w:rsid w:val="00767B1C"/>
    <w:pPr>
      <w:widowControl w:val="0"/>
      <w:spacing w:before="120" w:line="288" w:lineRule="auto"/>
      <w:ind w:firstLine="284"/>
    </w:pPr>
    <w:rPr>
      <w:sz w:val="22"/>
      <w:szCs w:val="22"/>
      <w:lang w:eastAsia="en-US"/>
    </w:rPr>
  </w:style>
  <w:style w:type="paragraph" w:customStyle="1" w:styleId="ADMETtitle">
    <w:name w:val="ADMET title"/>
    <w:basedOn w:val="Normal"/>
    <w:qFormat/>
    <w:rsid w:val="00767B1C"/>
    <w:pPr>
      <w:spacing w:line="240" w:lineRule="auto"/>
      <w:jc w:val="left"/>
    </w:pPr>
    <w:rPr>
      <w:b/>
      <w:sz w:val="36"/>
      <w:szCs w:val="36"/>
    </w:rPr>
  </w:style>
  <w:style w:type="character" w:styleId="FollowedHyperlink">
    <w:name w:val="FollowedHyperlink"/>
    <w:uiPriority w:val="99"/>
    <w:semiHidden/>
    <w:unhideWhenUsed/>
    <w:rsid w:val="00230F95"/>
    <w:rPr>
      <w:color w:val="800080"/>
      <w:u w:val="single"/>
    </w:rPr>
  </w:style>
  <w:style w:type="character" w:styleId="Emphasis">
    <w:name w:val="Emphasis"/>
    <w:uiPriority w:val="20"/>
    <w:qFormat/>
    <w:rsid w:val="00823AAF"/>
    <w:rPr>
      <w:i/>
      <w:iCs/>
    </w:rPr>
  </w:style>
  <w:style w:type="paragraph" w:styleId="Revision">
    <w:name w:val="Revision"/>
    <w:hidden/>
    <w:uiPriority w:val="99"/>
    <w:semiHidden/>
    <w:rsid w:val="00040615"/>
    <w:rPr>
      <w:rFonts w:ascii="Calibri" w:eastAsia="Times New Roman" w:hAnsi="Calibri"/>
      <w:color w:val="000000"/>
      <w:sz w:val="24"/>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40" w:lineRule="atLeast"/>
      <w:jc w:val="both"/>
    </w:pPr>
    <w:rPr>
      <w:rFonts w:ascii="Calibri" w:eastAsia="Times New Roman" w:hAnsi="Calibri"/>
      <w:color w:val="000000"/>
      <w:sz w:val="24"/>
      <w:lang w:val="en-US" w:eastAsia="de-DE"/>
    </w:rPr>
  </w:style>
  <w:style w:type="paragraph" w:styleId="Heading1">
    <w:name w:val="heading 1"/>
    <w:aliases w:val="x"/>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Normal"/>
    <w:next w:val="Normal"/>
    <w:qFormat/>
    <w:pPr>
      <w:keepNext/>
      <w:keepLines/>
      <w:spacing w:before="240" w:line="480" w:lineRule="atLeast"/>
      <w:ind w:left="907" w:hanging="907"/>
      <w:outlineLvl w:val="3"/>
    </w:pPr>
    <w:rPr>
      <w:rFonts w:ascii="Arial" w:hAnsi="Arial"/>
      <w:b/>
      <w:color w:val="auto"/>
      <w:sz w:val="22"/>
    </w:rPr>
  </w:style>
  <w:style w:type="paragraph" w:styleId="Heading5">
    <w:name w:val="heading 5"/>
    <w:basedOn w:val="Normal"/>
    <w:next w:val="Normal"/>
    <w:qFormat/>
    <w:pPr>
      <w:ind w:left="708"/>
      <w:outlineLvl w:val="4"/>
    </w:pPr>
    <w:rPr>
      <w:b/>
    </w:rPr>
  </w:style>
  <w:style w:type="paragraph" w:styleId="Heading6">
    <w:name w:val="heading 6"/>
    <w:basedOn w:val="Normal"/>
    <w:next w:val="Normal"/>
    <w:qFormat/>
    <w:pPr>
      <w:ind w:left="708"/>
      <w:outlineLvl w:val="5"/>
    </w:pPr>
    <w:rPr>
      <w:u w:val="single"/>
    </w:rPr>
  </w:style>
  <w:style w:type="paragraph" w:styleId="Heading7">
    <w:name w:val="heading 7"/>
    <w:basedOn w:val="Normal"/>
    <w:next w:val="Normal"/>
    <w:qFormat/>
    <w:pPr>
      <w:ind w:left="708"/>
      <w:outlineLvl w:val="6"/>
    </w:pPr>
    <w:rPr>
      <w:i/>
    </w:rPr>
  </w:style>
  <w:style w:type="paragraph" w:styleId="Heading8">
    <w:name w:val="heading 8"/>
    <w:basedOn w:val="Normal"/>
    <w:next w:val="Normal"/>
    <w:qFormat/>
    <w:pPr>
      <w:ind w:left="708"/>
      <w:outlineLvl w:val="7"/>
    </w:pPr>
    <w:rPr>
      <w:i/>
    </w:rPr>
  </w:style>
  <w:style w:type="paragraph" w:styleId="Heading9">
    <w:name w:val="heading 9"/>
    <w:basedOn w:val="Normal"/>
    <w:next w:val="Normal"/>
    <w:qForma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KeywordTitle">
    <w:name w:val="Paper Keyword Title"/>
    <w:basedOn w:val="Normal"/>
    <w:qFormat/>
    <w:pPr>
      <w:spacing w:before="135" w:line="240" w:lineRule="auto"/>
      <w:ind w:left="570"/>
    </w:pPr>
    <w:rPr>
      <w:b/>
    </w:rPr>
  </w:style>
  <w:style w:type="character" w:customStyle="1" w:styleId="PaperKeywordTitleChar">
    <w:name w:val="Paper Keyword Title Char"/>
    <w:rPr>
      <w:rFonts w:ascii="Calibri" w:eastAsia="Times New Roman" w:hAnsi="Calibri"/>
      <w:b/>
      <w:color w:val="000000"/>
      <w:sz w:val="24"/>
      <w:lang w:val="en-US" w:eastAsia="de-DE"/>
    </w:rPr>
  </w:style>
  <w:style w:type="paragraph" w:customStyle="1" w:styleId="PaperKeyword">
    <w:name w:val="Paper Keyword"/>
    <w:basedOn w:val="Normal"/>
    <w:qFormat/>
    <w:pPr>
      <w:spacing w:after="135" w:line="240" w:lineRule="auto"/>
      <w:ind w:left="570"/>
    </w:pPr>
  </w:style>
  <w:style w:type="character" w:customStyle="1" w:styleId="PaperKeywordChar">
    <w:name w:val="Paper Keyword Char"/>
    <w:rPr>
      <w:rFonts w:ascii="Calibri" w:eastAsia="Times New Roman" w:hAnsi="Calibri"/>
      <w:color w:val="000000"/>
      <w:sz w:val="24"/>
      <w:lang w:val="en-US" w:eastAsia="de-DE"/>
    </w:rPr>
  </w:style>
  <w:style w:type="paragraph" w:customStyle="1" w:styleId="PaperCorrespondingAuthor">
    <w:name w:val="Paper Corresponding Author"/>
    <w:basedOn w:val="Normal"/>
    <w:qFormat/>
    <w:pPr>
      <w:spacing w:before="120" w:line="240" w:lineRule="auto"/>
    </w:pPr>
    <w:rPr>
      <w:sz w:val="22"/>
      <w:szCs w:val="22"/>
    </w:rPr>
  </w:style>
  <w:style w:type="character" w:customStyle="1" w:styleId="PaperCorrespondingAuthorChar">
    <w:name w:val="Paper Corresponding Author Char"/>
    <w:rPr>
      <w:rFonts w:ascii="Calibri" w:eastAsia="Times New Roman" w:hAnsi="Calibri"/>
      <w:color w:val="000000"/>
      <w:sz w:val="22"/>
      <w:szCs w:val="22"/>
      <w:lang w:val="en-US" w:eastAsia="de-D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Hyperlink">
    <w:name w:val="Hyperlink"/>
    <w:rPr>
      <w:color w:val="0000FF"/>
      <w:u w:val="single"/>
    </w:rPr>
  </w:style>
  <w:style w:type="paragraph" w:styleId="Header">
    <w:name w:val="header"/>
    <w:basedOn w:val="Normal"/>
    <w:unhideWhenUsed/>
    <w:pPr>
      <w:tabs>
        <w:tab w:val="center" w:pos="4513"/>
        <w:tab w:val="right" w:pos="9026"/>
      </w:tabs>
    </w:pPr>
  </w:style>
  <w:style w:type="character" w:customStyle="1" w:styleId="HeaderChar">
    <w:name w:val="Header Char"/>
    <w:rPr>
      <w:rFonts w:ascii="Calibri" w:eastAsia="Times New Roman" w:hAnsi="Calibri"/>
      <w:color w:val="000000"/>
      <w:sz w:val="24"/>
      <w:lang w:val="en-US" w:eastAsia="de-DE"/>
    </w:rPr>
  </w:style>
  <w:style w:type="paragraph" w:styleId="Footer">
    <w:name w:val="footer"/>
    <w:basedOn w:val="Normal"/>
    <w:uiPriority w:val="99"/>
    <w:unhideWhenUsed/>
    <w:pPr>
      <w:tabs>
        <w:tab w:val="center" w:pos="4513"/>
        <w:tab w:val="right" w:pos="9026"/>
      </w:tabs>
    </w:pPr>
  </w:style>
  <w:style w:type="character" w:customStyle="1" w:styleId="FooterChar">
    <w:name w:val="Footer Char"/>
    <w:uiPriority w:val="99"/>
    <w:rPr>
      <w:rFonts w:ascii="Calibri" w:eastAsia="Times New Roman" w:hAnsi="Calibri"/>
      <w:color w:val="000000"/>
      <w:sz w:val="24"/>
      <w:lang w:val="en-US" w:eastAsia="de-DE"/>
    </w:rPr>
  </w:style>
  <w:style w:type="paragraph" w:customStyle="1" w:styleId="ADMETabstractheading">
    <w:name w:val="ADMET abstract heading"/>
    <w:basedOn w:val="Normal"/>
    <w:qFormat/>
    <w:rsid w:val="00767B1C"/>
    <w:pPr>
      <w:spacing w:before="135" w:after="60" w:line="240" w:lineRule="auto"/>
      <w:ind w:left="425" w:right="510"/>
    </w:pPr>
    <w:rPr>
      <w:b/>
      <w:i/>
      <w:szCs w:val="24"/>
      <w:lang w:val="en-GB" w:eastAsia="en-US"/>
    </w:rPr>
  </w:style>
  <w:style w:type="paragraph" w:customStyle="1" w:styleId="PaperType">
    <w:name w:val="Paper Type"/>
    <w:basedOn w:val="Normal"/>
    <w:qFormat/>
    <w:pPr>
      <w:spacing w:after="240" w:line="240" w:lineRule="auto"/>
      <w:jc w:val="left"/>
    </w:pPr>
    <w:rPr>
      <w:i/>
      <w:szCs w:val="24"/>
    </w:rPr>
  </w:style>
  <w:style w:type="paragraph" w:customStyle="1" w:styleId="PaperTitle">
    <w:name w:val="Paper Title"/>
    <w:basedOn w:val="Normal"/>
    <w:qFormat/>
    <w:pPr>
      <w:spacing w:line="240" w:lineRule="auto"/>
      <w:jc w:val="left"/>
    </w:pPr>
    <w:rPr>
      <w:b/>
      <w:sz w:val="36"/>
      <w:szCs w:val="36"/>
    </w:rPr>
  </w:style>
  <w:style w:type="character" w:customStyle="1" w:styleId="PaperTitleChar">
    <w:name w:val="Paper Title Char"/>
    <w:rPr>
      <w:rFonts w:ascii="Calibri" w:eastAsia="Times New Roman" w:hAnsi="Calibri"/>
      <w:b/>
      <w:color w:val="000000"/>
      <w:sz w:val="36"/>
      <w:szCs w:val="36"/>
      <w:lang w:val="en-US" w:eastAsia="de-DE"/>
    </w:rPr>
  </w:style>
  <w:style w:type="character" w:customStyle="1" w:styleId="PaperTypeChar">
    <w:name w:val="Paper Type Char"/>
    <w:rPr>
      <w:rFonts w:ascii="Calibri" w:eastAsia="Times New Roman" w:hAnsi="Calibri"/>
      <w:i/>
      <w:color w:val="000000"/>
      <w:sz w:val="24"/>
      <w:szCs w:val="24"/>
      <w:lang w:val="en-US" w:eastAsia="de-DE"/>
    </w:rPr>
  </w:style>
  <w:style w:type="paragraph" w:customStyle="1" w:styleId="PaperAuthors">
    <w:name w:val="Paper Authors"/>
    <w:basedOn w:val="Normal"/>
    <w:qFormat/>
    <w:pPr>
      <w:spacing w:before="120" w:line="240" w:lineRule="auto"/>
      <w:jc w:val="left"/>
    </w:pPr>
    <w:rPr>
      <w:sz w:val="28"/>
      <w:szCs w:val="28"/>
      <w:lang w:val="it-IT"/>
    </w:rPr>
  </w:style>
  <w:style w:type="character" w:customStyle="1" w:styleId="PaperAuthorsChar">
    <w:name w:val="Paper Authors Char"/>
    <w:rPr>
      <w:rFonts w:ascii="Calibri" w:eastAsia="Times New Roman" w:hAnsi="Calibri"/>
      <w:color w:val="000000"/>
      <w:sz w:val="28"/>
      <w:szCs w:val="28"/>
      <w:lang w:val="it-IT" w:eastAsia="de-DE"/>
    </w:rPr>
  </w:style>
  <w:style w:type="paragraph" w:customStyle="1" w:styleId="PaperH1">
    <w:name w:val="Paper H1"/>
    <w:basedOn w:val="Normal"/>
    <w:qFormat/>
    <w:pPr>
      <w:keepNext/>
      <w:spacing w:before="270" w:after="60" w:line="240" w:lineRule="auto"/>
    </w:pPr>
    <w:rPr>
      <w:b/>
      <w:szCs w:val="24"/>
      <w:lang w:eastAsia="en-US"/>
    </w:rPr>
  </w:style>
  <w:style w:type="paragraph" w:customStyle="1" w:styleId="PaperTable">
    <w:name w:val="Paper Table"/>
    <w:basedOn w:val="Normal"/>
    <w:qFormat/>
    <w:pPr>
      <w:keepNext/>
      <w:spacing w:before="240" w:after="120" w:line="240" w:lineRule="auto"/>
      <w:jc w:val="center"/>
    </w:pPr>
    <w:rPr>
      <w:i/>
      <w:sz w:val="22"/>
      <w:szCs w:val="22"/>
    </w:rPr>
  </w:style>
  <w:style w:type="character" w:customStyle="1" w:styleId="PaperH1Char">
    <w:name w:val="Paper H1 Char"/>
    <w:rPr>
      <w:rFonts w:ascii="Calibri" w:eastAsia="Times New Roman" w:hAnsi="Calibri"/>
      <w:b/>
      <w:color w:val="000000"/>
      <w:sz w:val="24"/>
      <w:szCs w:val="24"/>
      <w:lang w:val="en-US" w:eastAsia="en-US"/>
    </w:rPr>
  </w:style>
  <w:style w:type="paragraph" w:customStyle="1" w:styleId="PaperFig">
    <w:name w:val="Paper Fig"/>
    <w:basedOn w:val="Normal"/>
    <w:qFormat/>
    <w:pPr>
      <w:spacing w:before="45" w:after="240" w:line="240" w:lineRule="auto"/>
      <w:ind w:left="570" w:right="585"/>
      <w:jc w:val="center"/>
    </w:pPr>
    <w:rPr>
      <w:bCs/>
      <w:i/>
      <w:sz w:val="22"/>
      <w:szCs w:val="22"/>
      <w:lang w:eastAsia="en-US"/>
    </w:rPr>
  </w:style>
  <w:style w:type="character" w:customStyle="1" w:styleId="PaperFigChar">
    <w:name w:val="Paper Fig Char"/>
    <w:rPr>
      <w:rFonts w:ascii="Calibri" w:eastAsia="Times New Roman" w:hAnsi="Calibri"/>
      <w:bCs/>
      <w:i/>
      <w:color w:val="000000"/>
      <w:sz w:val="22"/>
      <w:szCs w:val="22"/>
      <w:lang w:val="en-US" w:eastAsia="en-US"/>
    </w:rPr>
  </w:style>
  <w:style w:type="character" w:customStyle="1" w:styleId="PaperTableChar">
    <w:name w:val="Paper Table Char"/>
    <w:rPr>
      <w:rFonts w:ascii="Calibri" w:eastAsia="Times New Roman" w:hAnsi="Calibri"/>
      <w:i/>
      <w:color w:val="000000"/>
      <w:sz w:val="22"/>
      <w:szCs w:val="22"/>
      <w:lang w:val="en-US" w:eastAsia="de-DE"/>
    </w:rPr>
  </w:style>
  <w:style w:type="paragraph" w:customStyle="1" w:styleId="PaperH2">
    <w:name w:val="Paper H2"/>
    <w:basedOn w:val="Normal"/>
    <w:qFormat/>
    <w:pPr>
      <w:keepNext/>
      <w:spacing w:before="180" w:after="60" w:line="240" w:lineRule="auto"/>
    </w:pPr>
    <w:rPr>
      <w:i/>
      <w:szCs w:val="24"/>
    </w:rPr>
  </w:style>
  <w:style w:type="paragraph" w:customStyle="1" w:styleId="PaperParagraf">
    <w:name w:val="Paper Paragraf"/>
    <w:basedOn w:val="Normal"/>
    <w:qFormat/>
    <w:pPr>
      <w:spacing w:line="320" w:lineRule="exact"/>
      <w:ind w:firstLine="285"/>
    </w:pPr>
    <w:rPr>
      <w:szCs w:val="24"/>
      <w:lang w:eastAsia="en-US"/>
    </w:rPr>
  </w:style>
  <w:style w:type="character" w:customStyle="1" w:styleId="PaperH2Char">
    <w:name w:val="Paper H2 Char"/>
    <w:rPr>
      <w:rFonts w:ascii="Calibri" w:eastAsia="Times New Roman" w:hAnsi="Calibri"/>
      <w:i/>
      <w:color w:val="000000"/>
      <w:sz w:val="24"/>
      <w:szCs w:val="24"/>
      <w:lang w:val="en-US" w:eastAsia="de-DE"/>
    </w:rPr>
  </w:style>
  <w:style w:type="character" w:customStyle="1" w:styleId="PaperParagrafChar">
    <w:name w:val="Paper Paragraf Char"/>
    <w:rPr>
      <w:rFonts w:ascii="Calibri" w:eastAsia="Times New Roman" w:hAnsi="Calibri"/>
      <w:color w:val="000000"/>
      <w:sz w:val="24"/>
      <w:szCs w:val="24"/>
      <w:lang w:val="en-US" w:eastAsia="en-US"/>
    </w:rPr>
  </w:style>
  <w:style w:type="paragraph" w:customStyle="1" w:styleId="PaperAbstractTitle">
    <w:name w:val="Paper Abstract Title"/>
    <w:basedOn w:val="Normal"/>
    <w:qFormat/>
    <w:pPr>
      <w:spacing w:before="135" w:line="240" w:lineRule="auto"/>
      <w:ind w:left="510" w:right="510"/>
    </w:pPr>
    <w:rPr>
      <w:b/>
      <w:i/>
      <w:szCs w:val="24"/>
      <w:lang w:eastAsia="en-US"/>
    </w:rPr>
  </w:style>
  <w:style w:type="character" w:customStyle="1" w:styleId="PaperAbstractTitleChar">
    <w:name w:val="Paper Abstract Title Char"/>
    <w:rPr>
      <w:rFonts w:ascii="Calibri" w:eastAsia="Times New Roman" w:hAnsi="Calibri"/>
      <w:b/>
      <w:i/>
      <w:color w:val="000000"/>
      <w:sz w:val="24"/>
      <w:szCs w:val="24"/>
      <w:lang w:val="en-US" w:eastAsia="en-US"/>
    </w:rPr>
  </w:style>
  <w:style w:type="paragraph" w:customStyle="1" w:styleId="PaperDates">
    <w:name w:val="Paper Dates"/>
    <w:basedOn w:val="Normal"/>
    <w:qFormat/>
    <w:pPr>
      <w:pBdr>
        <w:bottom w:val="single" w:sz="6" w:space="1" w:color="auto"/>
      </w:pBdr>
      <w:spacing w:line="240" w:lineRule="auto"/>
    </w:pPr>
    <w:rPr>
      <w:sz w:val="20"/>
    </w:rPr>
  </w:style>
  <w:style w:type="character" w:customStyle="1" w:styleId="PaperDatesChar">
    <w:name w:val="Paper Dates Char"/>
    <w:rPr>
      <w:rFonts w:ascii="Calibri" w:eastAsia="Times New Roman" w:hAnsi="Calibri"/>
      <w:color w:val="000000"/>
      <w:lang w:val="en-US" w:eastAsia="de-DE"/>
    </w:rPr>
  </w:style>
  <w:style w:type="paragraph" w:customStyle="1" w:styleId="PaperLit">
    <w:name w:val="Paper Lit"/>
    <w:basedOn w:val="Normal"/>
    <w:qFormat/>
    <w:pPr>
      <w:numPr>
        <w:numId w:val="47"/>
      </w:numPr>
      <w:tabs>
        <w:tab w:val="left" w:pos="709"/>
      </w:tabs>
      <w:spacing w:line="240" w:lineRule="auto"/>
      <w:ind w:left="709" w:hanging="283"/>
      <w:jc w:val="left"/>
    </w:pPr>
    <w:rPr>
      <w:color w:val="auto"/>
    </w:rPr>
  </w:style>
  <w:style w:type="character" w:customStyle="1" w:styleId="PaperLitChar">
    <w:name w:val="Paper Lit Char"/>
    <w:rPr>
      <w:rFonts w:ascii="Calibri" w:eastAsia="Times New Roman" w:hAnsi="Calibri"/>
      <w:sz w:val="24"/>
      <w:lang w:val="en-US" w:eastAsia="de-DE"/>
    </w:rPr>
  </w:style>
  <w:style w:type="paragraph" w:customStyle="1" w:styleId="PaperHeader">
    <w:name w:val="Paper Header"/>
    <w:basedOn w:val="Normal"/>
    <w:qFormat/>
    <w:rPr>
      <w:i/>
      <w:sz w:val="22"/>
      <w:szCs w:val="22"/>
    </w:rPr>
  </w:style>
  <w:style w:type="character" w:customStyle="1" w:styleId="PaperHeaderChar">
    <w:name w:val="Paper Header Char"/>
    <w:rPr>
      <w:rFonts w:ascii="Calibri" w:eastAsia="Times New Roman" w:hAnsi="Calibri"/>
      <w:i/>
      <w:color w:val="000000"/>
      <w:sz w:val="22"/>
      <w:szCs w:val="22"/>
      <w:lang w:val="en-US" w:eastAsia="de-DE"/>
    </w:rPr>
  </w:style>
  <w:style w:type="paragraph" w:customStyle="1" w:styleId="PaperAbstract">
    <w:name w:val="Paper Abstract"/>
    <w:basedOn w:val="Normal"/>
    <w:qFormat/>
    <w:pPr>
      <w:spacing w:line="240" w:lineRule="auto"/>
      <w:ind w:left="510" w:right="510"/>
    </w:pPr>
    <w:rPr>
      <w:i/>
      <w:szCs w:val="24"/>
      <w:lang w:eastAsia="en-US"/>
    </w:rPr>
  </w:style>
  <w:style w:type="character" w:customStyle="1" w:styleId="PaperAbstractChar">
    <w:name w:val="Paper Abstract Char"/>
    <w:rPr>
      <w:rFonts w:ascii="Calibri" w:eastAsia="Times New Roman" w:hAnsi="Calibri"/>
      <w:i/>
      <w:color w:val="000000"/>
      <w:sz w:val="24"/>
      <w:szCs w:val="24"/>
      <w:lang w:val="en-US" w:eastAsia="en-US"/>
    </w:rPr>
  </w:style>
  <w:style w:type="paragraph" w:customStyle="1" w:styleId="PaperAffiliation">
    <w:name w:val="Paper Affiliation"/>
    <w:basedOn w:val="Normal"/>
    <w:qFormat/>
    <w:pPr>
      <w:spacing w:before="120" w:line="240" w:lineRule="auto"/>
      <w:jc w:val="left"/>
    </w:pPr>
    <w:rPr>
      <w:i/>
      <w:szCs w:val="24"/>
    </w:rPr>
  </w:style>
  <w:style w:type="character" w:customStyle="1" w:styleId="PaperAffiliationChar">
    <w:name w:val="Paper Affiliation Char"/>
    <w:rPr>
      <w:rFonts w:ascii="Calibri" w:eastAsia="Times New Roman" w:hAnsi="Calibri"/>
      <w:i/>
      <w:color w:val="000000"/>
      <w:sz w:val="24"/>
      <w:szCs w:val="24"/>
      <w:lang w:val="en-US" w:eastAsia="de-DE"/>
    </w:rPr>
  </w:style>
  <w:style w:type="paragraph" w:customStyle="1" w:styleId="PaperAcknow">
    <w:name w:val="Paper Acknow"/>
    <w:basedOn w:val="Normal"/>
    <w:qFormat/>
    <w:pPr>
      <w:keepNext/>
      <w:spacing w:before="180" w:after="60" w:line="240" w:lineRule="auto"/>
    </w:pPr>
    <w:rPr>
      <w:b/>
      <w:i/>
      <w:szCs w:val="24"/>
      <w:lang w:eastAsia="en-US"/>
    </w:rPr>
  </w:style>
  <w:style w:type="paragraph" w:customStyle="1" w:styleId="PaperEq">
    <w:name w:val="Paper Eq"/>
    <w:basedOn w:val="PaperParagraf"/>
    <w:qFormat/>
    <w:pPr>
      <w:tabs>
        <w:tab w:val="right" w:pos="9356"/>
      </w:tabs>
      <w:spacing w:before="135" w:after="135" w:line="240" w:lineRule="auto"/>
      <w:ind w:firstLine="284"/>
    </w:pPr>
  </w:style>
  <w:style w:type="character" w:customStyle="1" w:styleId="PaperAcknowChar">
    <w:name w:val="Paper Acknow Char"/>
    <w:rPr>
      <w:rFonts w:ascii="Calibri" w:eastAsia="Times New Roman" w:hAnsi="Calibri"/>
      <w:b/>
      <w:i/>
      <w:color w:val="000000"/>
      <w:sz w:val="24"/>
      <w:szCs w:val="24"/>
      <w:lang w:val="en-US" w:eastAsia="en-US"/>
    </w:rPr>
  </w:style>
  <w:style w:type="character" w:customStyle="1" w:styleId="apple-converted-space">
    <w:name w:val="apple-converted-space"/>
    <w:basedOn w:val="DefaultParagraphFont"/>
  </w:style>
  <w:style w:type="character" w:customStyle="1" w:styleId="apple-style-span">
    <w:name w:val="apple-style-span"/>
    <w:basedOn w:val="DefaultParagraphFont"/>
  </w:style>
  <w:style w:type="paragraph" w:styleId="BalloonText">
    <w:name w:val="Balloon Text"/>
    <w:basedOn w:val="Normal"/>
    <w:semiHidden/>
    <w:unhideWhenUsed/>
    <w:pPr>
      <w:spacing w:line="240" w:lineRule="auto"/>
    </w:pPr>
    <w:rPr>
      <w:rFonts w:ascii="Tahoma" w:hAnsi="Tahoma"/>
      <w:sz w:val="16"/>
      <w:szCs w:val="16"/>
    </w:rPr>
  </w:style>
  <w:style w:type="character" w:customStyle="1" w:styleId="BalloonTextChar">
    <w:name w:val="Balloon Text Char"/>
    <w:semiHidden/>
    <w:rPr>
      <w:rFonts w:ascii="Tahoma" w:eastAsia="Times New Roman" w:hAnsi="Tahoma" w:cs="Tahoma"/>
      <w:color w:val="000000"/>
      <w:sz w:val="16"/>
      <w:szCs w:val="16"/>
      <w:lang w:val="en-US" w:eastAsia="de-DE"/>
    </w:r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Calibri" w:eastAsia="Times New Roman" w:hAnsi="Calibri"/>
      <w:color w:val="000000"/>
      <w:lang w:val="en-US" w:eastAsia="de-DE"/>
    </w:rPr>
  </w:style>
  <w:style w:type="character" w:customStyle="1" w:styleId="CommentSubjectChar">
    <w:name w:val="Comment Subject Char"/>
    <w:semiHidden/>
    <w:rPr>
      <w:rFonts w:ascii="Calibri" w:eastAsia="Times New Roman" w:hAnsi="Calibri"/>
      <w:b/>
      <w:bCs/>
      <w:color w:val="000000"/>
      <w:lang w:val="en-US" w:eastAsia="de-DE"/>
    </w:rPr>
  </w:style>
  <w:style w:type="character" w:styleId="LineNumber">
    <w:name w:val="line number"/>
    <w:basedOn w:val="DefaultParagraphFont"/>
    <w:semiHidden/>
    <w:unhideWhenUsed/>
  </w:style>
  <w:style w:type="paragraph" w:styleId="ListParagraph">
    <w:name w:val="List Paragraph"/>
    <w:basedOn w:val="Normal"/>
    <w:qFormat/>
    <w:pPr>
      <w:spacing w:after="200" w:line="276" w:lineRule="auto"/>
      <w:ind w:left="720"/>
      <w:contextualSpacing/>
      <w:jc w:val="left"/>
    </w:pPr>
    <w:rPr>
      <w:rFonts w:eastAsia="Calibri"/>
      <w:color w:val="auto"/>
      <w:sz w:val="22"/>
      <w:szCs w:val="22"/>
      <w:lang w:val="ru-RU" w:eastAsia="en-US"/>
    </w:rPr>
  </w:style>
  <w:style w:type="paragraph" w:customStyle="1" w:styleId="ADMETabstracttext">
    <w:name w:val="ADMET abstract text"/>
    <w:basedOn w:val="Normal"/>
    <w:qFormat/>
    <w:rsid w:val="00767B1C"/>
    <w:pPr>
      <w:spacing w:before="120" w:line="240" w:lineRule="auto"/>
      <w:ind w:left="510" w:right="431"/>
    </w:pPr>
    <w:rPr>
      <w:i/>
      <w:sz w:val="20"/>
      <w:lang w:eastAsia="en-US"/>
    </w:rPr>
  </w:style>
  <w:style w:type="paragraph" w:customStyle="1" w:styleId="ADMETaffiilationfirst">
    <w:name w:val="ADMET affiilation first"/>
    <w:basedOn w:val="Normal"/>
    <w:qFormat/>
    <w:rsid w:val="00767B1C"/>
    <w:pPr>
      <w:spacing w:before="120" w:line="240" w:lineRule="auto"/>
    </w:pPr>
    <w:rPr>
      <w:i/>
      <w:sz w:val="20"/>
      <w:lang w:val="en-GB"/>
    </w:rPr>
  </w:style>
  <w:style w:type="paragraph" w:customStyle="1" w:styleId="ADMETaffiliationrest">
    <w:name w:val="ADMET affiliation rest"/>
    <w:basedOn w:val="Normal"/>
    <w:qFormat/>
    <w:rsid w:val="00767B1C"/>
    <w:pPr>
      <w:spacing w:line="240" w:lineRule="auto"/>
    </w:pPr>
    <w:rPr>
      <w:i/>
      <w:sz w:val="20"/>
    </w:rPr>
  </w:style>
  <w:style w:type="paragraph" w:customStyle="1" w:styleId="ADMETauthors">
    <w:name w:val="ADMET authors"/>
    <w:basedOn w:val="Normal"/>
    <w:qFormat/>
    <w:rsid w:val="00767B1C"/>
    <w:pPr>
      <w:spacing w:before="120" w:line="240" w:lineRule="auto"/>
      <w:jc w:val="left"/>
    </w:pPr>
    <w:rPr>
      <w:sz w:val="28"/>
      <w:szCs w:val="28"/>
      <w:lang w:val="en-GB"/>
    </w:rPr>
  </w:style>
  <w:style w:type="paragraph" w:customStyle="1" w:styleId="ADMETcorrespondingauthor">
    <w:name w:val="ADMET corresponding author"/>
    <w:basedOn w:val="Normal"/>
    <w:qFormat/>
    <w:rsid w:val="00767B1C"/>
    <w:pPr>
      <w:spacing w:before="120" w:line="240" w:lineRule="auto"/>
    </w:pPr>
    <w:rPr>
      <w:sz w:val="20"/>
      <w:lang w:val="en-GB"/>
    </w:rPr>
  </w:style>
  <w:style w:type="paragraph" w:customStyle="1" w:styleId="ADMETdates">
    <w:name w:val="ADMET dates"/>
    <w:basedOn w:val="Normal"/>
    <w:qFormat/>
    <w:rsid w:val="00767B1C"/>
    <w:pPr>
      <w:spacing w:before="120" w:line="240" w:lineRule="auto"/>
    </w:pPr>
    <w:rPr>
      <w:sz w:val="18"/>
      <w:szCs w:val="18"/>
      <w:lang w:val="en-GB"/>
    </w:rPr>
  </w:style>
  <w:style w:type="paragraph" w:customStyle="1" w:styleId="ADMETfigurecaptions">
    <w:name w:val="ADMET figure captions"/>
    <w:basedOn w:val="Normal"/>
    <w:qFormat/>
    <w:rsid w:val="00767B1C"/>
    <w:pPr>
      <w:spacing w:before="60" w:after="120" w:line="240" w:lineRule="auto"/>
      <w:ind w:left="284" w:right="425"/>
      <w:jc w:val="center"/>
    </w:pPr>
    <w:rPr>
      <w:sz w:val="20"/>
    </w:rPr>
  </w:style>
  <w:style w:type="paragraph" w:customStyle="1" w:styleId="ADMETheading">
    <w:name w:val="ADMET heading"/>
    <w:basedOn w:val="ListParagraph"/>
    <w:qFormat/>
    <w:rsid w:val="00767B1C"/>
    <w:pPr>
      <w:spacing w:before="270" w:after="60" w:line="240" w:lineRule="auto"/>
      <w:ind w:left="0"/>
      <w:jc w:val="both"/>
    </w:pPr>
    <w:rPr>
      <w:b/>
      <w:lang w:val="en-US"/>
    </w:rPr>
  </w:style>
  <w:style w:type="paragraph" w:customStyle="1" w:styleId="ADMETkeywords">
    <w:name w:val="ADMET keywords"/>
    <w:basedOn w:val="Normal"/>
    <w:qFormat/>
    <w:rsid w:val="00767B1C"/>
    <w:pPr>
      <w:spacing w:after="60" w:line="280" w:lineRule="exact"/>
      <w:ind w:left="510" w:right="510"/>
    </w:pPr>
    <w:rPr>
      <w:sz w:val="20"/>
      <w:lang w:val="en-GB"/>
    </w:rPr>
  </w:style>
  <w:style w:type="paragraph" w:customStyle="1" w:styleId="ADMETkeywordsheading">
    <w:name w:val="ADMET keywords heading"/>
    <w:basedOn w:val="Normal"/>
    <w:qFormat/>
    <w:rsid w:val="00767B1C"/>
    <w:pPr>
      <w:spacing w:before="135" w:after="60" w:line="240" w:lineRule="auto"/>
      <w:ind w:left="573"/>
    </w:pPr>
    <w:rPr>
      <w:b/>
      <w:lang w:val="en-GB"/>
    </w:rPr>
  </w:style>
  <w:style w:type="paragraph" w:customStyle="1" w:styleId="ADMETreferences">
    <w:name w:val="ADMET references"/>
    <w:basedOn w:val="Normal"/>
    <w:qFormat/>
    <w:rsid w:val="00767B1C"/>
    <w:pPr>
      <w:numPr>
        <w:numId w:val="48"/>
      </w:numPr>
      <w:tabs>
        <w:tab w:val="left" w:pos="180"/>
      </w:tabs>
      <w:spacing w:before="60" w:line="240" w:lineRule="auto"/>
    </w:pPr>
    <w:rPr>
      <w:color w:val="auto"/>
      <w:sz w:val="22"/>
      <w:szCs w:val="22"/>
    </w:rPr>
  </w:style>
  <w:style w:type="paragraph" w:customStyle="1" w:styleId="ADMETsubheading">
    <w:name w:val="ADMET subheading"/>
    <w:basedOn w:val="Normal"/>
    <w:qFormat/>
    <w:rsid w:val="00767B1C"/>
    <w:pPr>
      <w:widowControl w:val="0"/>
      <w:spacing w:before="180" w:after="60" w:line="240" w:lineRule="auto"/>
    </w:pPr>
    <w:rPr>
      <w:i/>
      <w:sz w:val="22"/>
      <w:szCs w:val="22"/>
      <w:lang w:eastAsia="en-US"/>
    </w:rPr>
  </w:style>
  <w:style w:type="paragraph" w:customStyle="1" w:styleId="ADMETtablecaptions">
    <w:name w:val="ADMET table captions"/>
    <w:basedOn w:val="Normal"/>
    <w:qFormat/>
    <w:rsid w:val="00767B1C"/>
    <w:pPr>
      <w:widowControl w:val="0"/>
      <w:spacing w:before="180" w:line="240" w:lineRule="auto"/>
      <w:ind w:left="142"/>
      <w:jc w:val="left"/>
    </w:pPr>
    <w:rPr>
      <w:sz w:val="20"/>
    </w:rPr>
  </w:style>
  <w:style w:type="paragraph" w:customStyle="1" w:styleId="ADMETtext">
    <w:name w:val="ADMET text"/>
    <w:basedOn w:val="Normal"/>
    <w:qFormat/>
    <w:rsid w:val="00767B1C"/>
    <w:pPr>
      <w:widowControl w:val="0"/>
      <w:spacing w:before="120" w:line="288" w:lineRule="auto"/>
      <w:ind w:firstLine="284"/>
    </w:pPr>
    <w:rPr>
      <w:sz w:val="22"/>
      <w:szCs w:val="22"/>
      <w:lang w:eastAsia="en-US"/>
    </w:rPr>
  </w:style>
  <w:style w:type="paragraph" w:customStyle="1" w:styleId="ADMETtitle">
    <w:name w:val="ADMET title"/>
    <w:basedOn w:val="Normal"/>
    <w:qFormat/>
    <w:rsid w:val="00767B1C"/>
    <w:pPr>
      <w:spacing w:line="240" w:lineRule="auto"/>
      <w:jc w:val="left"/>
    </w:pPr>
    <w:rPr>
      <w:b/>
      <w:sz w:val="36"/>
      <w:szCs w:val="36"/>
    </w:rPr>
  </w:style>
  <w:style w:type="character" w:styleId="FollowedHyperlink">
    <w:name w:val="FollowedHyperlink"/>
    <w:uiPriority w:val="99"/>
    <w:semiHidden/>
    <w:unhideWhenUsed/>
    <w:rsid w:val="00230F95"/>
    <w:rPr>
      <w:color w:val="800080"/>
      <w:u w:val="single"/>
    </w:rPr>
  </w:style>
  <w:style w:type="character" w:styleId="Emphasis">
    <w:name w:val="Emphasis"/>
    <w:uiPriority w:val="20"/>
    <w:qFormat/>
    <w:rsid w:val="00823AAF"/>
    <w:rPr>
      <w:i/>
      <w:iCs/>
    </w:rPr>
  </w:style>
  <w:style w:type="paragraph" w:styleId="Revision">
    <w:name w:val="Revision"/>
    <w:hidden/>
    <w:uiPriority w:val="99"/>
    <w:semiHidden/>
    <w:rsid w:val="00040615"/>
    <w:rPr>
      <w:rFonts w:ascii="Calibri" w:eastAsia="Times New Roman" w:hAnsi="Calibri"/>
      <w:color w:val="000000"/>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4.0/" TargetMode="External"/><Relationship Id="rId18" Type="http://schemas.openxmlformats.org/officeDocument/2006/relationships/hyperlink" Target="http://www.biobyte.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reativecommons.org/licenses/by/3.0/" TargetMode="External"/><Relationship Id="rId7" Type="http://schemas.openxmlformats.org/officeDocument/2006/relationships/footnotes" Target="footnotes.xml"/><Relationship Id="rId12" Type="http://schemas.openxmlformats.org/officeDocument/2006/relationships/hyperlink" Target="mailto:marti.roses@ub.edu" TargetMode="External"/><Relationship Id="rId17" Type="http://schemas.openxmlformats.org/officeDocument/2006/relationships/image" Target="media/image5.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png"/><Relationship Id="rId29" Type="http://schemas.openxmlformats.org/officeDocument/2006/relationships/theme" Target="theme/theme1.xm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iapchem.org/ojs/index.php/admet/inde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file:///D:\Users\UserX\Documents\IAPC%20Journals\ADMET%20and%20DMPK\Articles\Articles%20in%20press\Proof\www.acdlabs.com" TargetMode="External"/><Relationship Id="rId4" Type="http://schemas.microsoft.com/office/2007/relationships/stylesWithEffects" Target="stylesWithEffects.xml"/><Relationship Id="rId9" Type="http://schemas.openxmlformats.org/officeDocument/2006/relationships/hyperlink" Target="http://dx.doi.org/10.5599/admet.761" TargetMode="External"/><Relationship Id="rId14" Type="http://schemas.openxmlformats.org/officeDocument/2006/relationships/image" Target="media/image2.jpg"/><Relationship Id="rId22" Type="http://schemas.openxmlformats.org/officeDocument/2006/relationships/image" Target="media/image7.png"/><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hyperlink" Target="http://dx.doi.org/10.5599/admet.76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x.doi.org/10.5599/admet.76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353;a\Downloads\energies-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2BB2F-F7AA-4D3E-8FD3-4E368A68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energies-template.dot</Template>
  <TotalTime>2</TotalTime>
  <Pages>13</Pages>
  <Words>16226</Words>
  <Characters>92491</Characters>
  <Application>Microsoft Office Word</Application>
  <DocSecurity>0</DocSecurity>
  <Lines>770</Lines>
  <Paragraphs>216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Optimization of experimental conditions for skin-PAMPA measurements</vt:lpstr>
      <vt:lpstr>manuscript</vt:lpstr>
    </vt:vector>
  </TitlesOfParts>
  <Company>Grizli777</Company>
  <LinksUpToDate>false</LinksUpToDate>
  <CharactersWithSpaces>108501</CharactersWithSpaces>
  <SharedDoc>false</SharedDoc>
  <HLinks>
    <vt:vector size="12" baseType="variant">
      <vt:variant>
        <vt:i4>6553702</vt:i4>
      </vt:variant>
      <vt:variant>
        <vt:i4>102</vt:i4>
      </vt:variant>
      <vt:variant>
        <vt:i4>0</vt:i4>
      </vt:variant>
      <vt:variant>
        <vt:i4>5</vt:i4>
      </vt:variant>
      <vt:variant>
        <vt:lpwstr>http://creativecommons.org/licenses/by/3.0/</vt:lpwstr>
      </vt:variant>
      <vt:variant>
        <vt:lpwstr/>
      </vt:variant>
      <vt:variant>
        <vt:i4>4784157</vt:i4>
      </vt:variant>
      <vt:variant>
        <vt:i4>0</vt:i4>
      </vt:variant>
      <vt:variant>
        <vt:i4>0</vt:i4>
      </vt:variant>
      <vt:variant>
        <vt:i4>5</vt:i4>
      </vt:variant>
      <vt:variant>
        <vt:lpwstr>http://www.pub.iapchem.org/ojs/index.php/admet/index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experimental conditions for skin-PAMPA measurements</dc:title>
  <dc:subject>In the recent years, the Parallel Artificial Membrane Permeability Assay (PAMPA) has been extended for prediction of skin permeation by developing an artificial membrane which mimics the stratum corneum structure, skin-PAMPA. In the present work, the different parameters affecting skin-PAMPA permeability, such as incubation time and stirring, have been studied to establish ideal assay conditions to generate quality data for screening of active pharmaceutical ingredients (API) in early stage drug discovery. Another important parameter is membrane retention, which show dependence with lipophilicity when compounds are in their neutral form. Furthermore, the stability of the membrane has been investigated at different pH values, especially at basic pHs. Finally, good correlation between human skin permeability and skin-PAMPA permeability, with a large dataset (n = 46), has been established. The optimized assay conditions were an incubation time of 4 hours with stirring in a pH below 8. With all these considerations the thickness of the aqueous boundary layer is decreased as much as possible and the membrane stability is guaranteed.</dc:subject>
  <dc:creator>Sara Soriano-Meseguer, Elisabet Fuguet, Adriana Port, Martí Rosés</dc:creator>
  <cp:keywords>Skin-PAMPA; Permeation; Optimization; Membrane retention; Membrane stability</cp:keywords>
  <cp:lastModifiedBy>Zoran</cp:lastModifiedBy>
  <cp:revision>4</cp:revision>
  <cp:lastPrinted>2020-02-23T18:59:00Z</cp:lastPrinted>
  <dcterms:created xsi:type="dcterms:W3CDTF">2021-01-04T19:51:00Z</dcterms:created>
  <dcterms:modified xsi:type="dcterms:W3CDTF">2021-04-22T18:48:00Z</dcterms:modified>
  <cp:category>ADMET and DMPK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http://www.zotero.org/styles/analytica-chimica-acta</vt:lpwstr>
  </property>
  <property fmtid="{D5CDD505-2E9C-101B-9397-08002B2CF9AE}" pid="9" name="Mendeley Recent Style Name 3_1">
    <vt:lpwstr>Analytica Chimica Acta</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http://www.zotero.org/styles/journal-of-chromatography-a</vt:lpwstr>
  </property>
  <property fmtid="{D5CDD505-2E9C-101B-9397-08002B2CF9AE}" pid="17" name="Mendeley Recent Style Name 7_1">
    <vt:lpwstr>Journal of Chromatography A</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5a9746f8-350c-3903-8234-170a71928c95</vt:lpwstr>
  </property>
  <property fmtid="{D5CDD505-2E9C-101B-9397-08002B2CF9AE}" pid="24" name="Mendeley Citation Style_1">
    <vt:lpwstr>http://www.zotero.org/styles/ieee</vt:lpwstr>
  </property>
</Properties>
</file>