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323B1" w14:textId="607A0408" w:rsidR="0009791A" w:rsidRPr="00076E15" w:rsidRDefault="00154252" w:rsidP="0009791A">
      <w:pPr>
        <w:pStyle w:val="NoSpacing"/>
        <w:rPr>
          <w:rFonts w:ascii="Times New Roman" w:hAnsi="Times New Roman"/>
          <w:b/>
          <w:caps/>
          <w:spacing w:val="20"/>
          <w:sz w:val="24"/>
          <w:szCs w:val="24"/>
        </w:rPr>
      </w:pPr>
      <w:r>
        <w:rPr>
          <w:rFonts w:ascii="Times New Roman" w:hAnsi="Times New Roman"/>
          <w:sz w:val="24"/>
          <w:szCs w:val="24"/>
        </w:rPr>
        <w:t>8</w:t>
      </w:r>
      <w:r w:rsidR="008A6466">
        <w:rPr>
          <w:rFonts w:ascii="Times New Roman" w:hAnsi="Times New Roman"/>
          <w:sz w:val="24"/>
          <w:szCs w:val="24"/>
        </w:rPr>
        <w:t>6</w:t>
      </w:r>
      <w:r w:rsidR="0009791A">
        <w:rPr>
          <w:rFonts w:ascii="Times New Roman" w:hAnsi="Times New Roman"/>
          <w:sz w:val="24"/>
          <w:szCs w:val="24"/>
        </w:rPr>
        <w:tab/>
      </w:r>
      <w:r w:rsidR="0009791A" w:rsidRPr="00076E15">
        <w:rPr>
          <w:rFonts w:ascii="Times New Roman" w:hAnsi="Times New Roman"/>
          <w:sz w:val="24"/>
          <w:szCs w:val="24"/>
        </w:rPr>
        <w:t xml:space="preserve">          </w:t>
      </w:r>
      <w:r w:rsidR="0009791A" w:rsidRPr="00154252">
        <w:rPr>
          <w:rFonts w:ascii="Times New Roman" w:hAnsi="Times New Roman"/>
          <w:b/>
          <w:bCs/>
          <w:sz w:val="24"/>
          <w:szCs w:val="24"/>
        </w:rPr>
        <w:t xml:space="preserve">Annals of Applied Psychophysiology December 2025 Volume 13 </w:t>
      </w:r>
      <w:sdt>
        <w:sdtPr>
          <w:rPr>
            <w:rFonts w:ascii="Times New Roman" w:hAnsi="Times New Roman"/>
            <w:b/>
            <w:bCs/>
            <w:sz w:val="24"/>
            <w:szCs w:val="24"/>
          </w:rPr>
          <w:alias w:val="Title"/>
          <w:tag w:val=""/>
          <w:id w:val="-155760336"/>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rsidR="0009791A" w:rsidRPr="00154252">
            <w:rPr>
              <w:rFonts w:ascii="Times New Roman" w:hAnsi="Times New Roman"/>
              <w:b/>
              <w:bCs/>
              <w:sz w:val="24"/>
              <w:szCs w:val="24"/>
            </w:rPr>
            <w:t xml:space="preserve">     </w:t>
          </w:r>
        </w:sdtContent>
      </w:sdt>
    </w:p>
    <w:p w14:paraId="5C9D0CF3" w14:textId="77777777" w:rsidR="0009791A" w:rsidRPr="00076E15" w:rsidRDefault="0009791A" w:rsidP="0009791A">
      <w:pPr>
        <w:rPr>
          <w:rFonts w:ascii="Times New Roman" w:hAnsi="Times New Roman"/>
          <w:i/>
          <w:iCs/>
        </w:rPr>
      </w:pPr>
      <w:r w:rsidRPr="00076E15">
        <w:rPr>
          <w:rFonts w:ascii="Times New Roman" w:hAnsi="Times New Roman"/>
        </w:rPr>
        <w:t>______________________________________________________________________________</w:t>
      </w:r>
    </w:p>
    <w:p w14:paraId="6B278495" w14:textId="77777777" w:rsidR="0009791A" w:rsidRDefault="0009791A" w:rsidP="0009791A">
      <w:pPr>
        <w:autoSpaceDE w:val="0"/>
        <w:autoSpaceDN w:val="0"/>
        <w:adjustRightInd w:val="0"/>
        <w:rPr>
          <w:rFonts w:ascii="Times New Roman" w:hAnsi="Times New Roman"/>
          <w:b/>
          <w:bCs/>
          <w:sz w:val="32"/>
          <w:szCs w:val="32"/>
        </w:rPr>
      </w:pPr>
      <w:r w:rsidRPr="0009791A">
        <w:rPr>
          <w:rFonts w:ascii="Times New Roman" w:hAnsi="Times New Roman"/>
          <w:b/>
          <w:bCs/>
          <w:sz w:val="32"/>
          <w:szCs w:val="32"/>
        </w:rPr>
        <w:t xml:space="preserve">Association Between Balance Ability and Functional Mobility in Transtibial Amputee Patients </w:t>
      </w:r>
    </w:p>
    <w:p w14:paraId="69B50B02" w14:textId="75C03E6B" w:rsidR="0009791A" w:rsidRPr="00486A93" w:rsidRDefault="0009791A" w:rsidP="0009791A">
      <w:pPr>
        <w:autoSpaceDE w:val="0"/>
        <w:autoSpaceDN w:val="0"/>
        <w:adjustRightInd w:val="0"/>
        <w:rPr>
          <w:rFonts w:ascii="Times New Roman" w:hAnsi="Times New Roman"/>
          <w:sz w:val="32"/>
          <w:szCs w:val="32"/>
        </w:rPr>
      </w:pPr>
      <w:r w:rsidRPr="00486A93">
        <w:rPr>
          <w:rFonts w:ascii="Times New Roman" w:hAnsi="Times New Roman"/>
          <w:sz w:val="32"/>
          <w:szCs w:val="32"/>
        </w:rPr>
        <w:t>Olaitan Olabiyi</w:t>
      </w:r>
      <w:r w:rsidRPr="00486A93">
        <w:rPr>
          <w:rFonts w:ascii="Times New Roman" w:hAnsi="Times New Roman"/>
          <w:sz w:val="32"/>
          <w:szCs w:val="32"/>
          <w:vertAlign w:val="superscript"/>
        </w:rPr>
        <w:t>1</w:t>
      </w:r>
      <w:r w:rsidRPr="00486A93">
        <w:rPr>
          <w:rFonts w:ascii="Times New Roman" w:hAnsi="Times New Roman"/>
          <w:sz w:val="32"/>
          <w:szCs w:val="32"/>
        </w:rPr>
        <w:t>, Ayomide Ajibewa</w:t>
      </w:r>
      <w:r w:rsidRPr="00486A93">
        <w:rPr>
          <w:rFonts w:ascii="Times New Roman" w:hAnsi="Times New Roman"/>
          <w:sz w:val="32"/>
          <w:szCs w:val="32"/>
          <w:vertAlign w:val="superscript"/>
        </w:rPr>
        <w:t>1</w:t>
      </w:r>
      <w:r w:rsidRPr="00486A93">
        <w:rPr>
          <w:rFonts w:ascii="Times New Roman" w:hAnsi="Times New Roman"/>
          <w:sz w:val="32"/>
          <w:szCs w:val="32"/>
        </w:rPr>
        <w:t xml:space="preserve">, </w:t>
      </w:r>
      <w:r w:rsidRPr="0009791A">
        <w:rPr>
          <w:rFonts w:ascii="Times New Roman" w:hAnsi="Times New Roman"/>
          <w:sz w:val="32"/>
          <w:szCs w:val="32"/>
        </w:rPr>
        <w:t>Bakhat Ali¹, Bushra Madad Malik², Noor Jan², Ayesha Rayyan</w:t>
      </w:r>
      <w:r w:rsidRPr="0009791A">
        <w:rPr>
          <w:rFonts w:ascii="Times New Roman" w:hAnsi="Times New Roman"/>
          <w:sz w:val="32"/>
          <w:szCs w:val="32"/>
          <w:vertAlign w:val="superscript"/>
        </w:rPr>
        <w:t>3</w:t>
      </w:r>
      <w:r w:rsidRPr="0009791A">
        <w:rPr>
          <w:rFonts w:ascii="Times New Roman" w:hAnsi="Times New Roman"/>
          <w:sz w:val="32"/>
          <w:szCs w:val="32"/>
        </w:rPr>
        <w:t>, Saba Memon², Salman Hyder², Waqar Ahmed</w:t>
      </w:r>
      <w:r w:rsidRPr="0009791A">
        <w:rPr>
          <w:rFonts w:ascii="Times New Roman" w:hAnsi="Times New Roman"/>
          <w:sz w:val="32"/>
          <w:szCs w:val="32"/>
          <w:vertAlign w:val="superscript"/>
        </w:rPr>
        <w:t>3</w:t>
      </w:r>
    </w:p>
    <w:p w14:paraId="617433BA" w14:textId="77777777" w:rsidR="0009791A" w:rsidRPr="00076E15" w:rsidRDefault="0009791A" w:rsidP="0009791A">
      <w:pPr>
        <w:autoSpaceDE w:val="0"/>
        <w:autoSpaceDN w:val="0"/>
        <w:adjustRightInd w:val="0"/>
        <w:rPr>
          <w:rFonts w:ascii="Times New Roman" w:hAnsi="Times New Roman"/>
          <w:i/>
          <w:iCs/>
          <w:sz w:val="17"/>
          <w:szCs w:val="17"/>
        </w:rPr>
      </w:pPr>
      <w:r w:rsidRPr="00076E15">
        <w:rPr>
          <w:rFonts w:ascii="Times New Roman" w:hAnsi="Times New Roman"/>
          <w:sz w:val="17"/>
          <w:szCs w:val="17"/>
        </w:rPr>
        <w:t>Published online: December 2025</w:t>
      </w:r>
    </w:p>
    <w:p w14:paraId="41F144E8" w14:textId="77777777" w:rsidR="0009791A" w:rsidRPr="00076E15" w:rsidRDefault="0009791A" w:rsidP="0009791A">
      <w:pPr>
        <w:ind w:left="-90"/>
        <w:rPr>
          <w:rFonts w:ascii="Times New Roman" w:hAnsi="Times New Roman"/>
          <w:b/>
          <w:bCs/>
          <w:i/>
          <w:iCs/>
        </w:rPr>
      </w:pPr>
      <w:r w:rsidRPr="00076E15">
        <w:rPr>
          <w:rFonts w:ascii="Times New Roman" w:hAnsi="Times New Roman"/>
          <w:sz w:val="17"/>
          <w:szCs w:val="17"/>
        </w:rPr>
        <w:t xml:space="preserve">  © The Author(s) </w:t>
      </w:r>
    </w:p>
    <w:p w14:paraId="2063A9C9" w14:textId="18B5B721" w:rsidR="007D42E7" w:rsidRPr="0009791A" w:rsidRDefault="00741210" w:rsidP="0009791A">
      <w:pPr>
        <w:jc w:val="center"/>
      </w:pPr>
      <w:r w:rsidRPr="00CC2538">
        <w:rPr>
          <w:rFonts w:asciiTheme="minorBidi" w:hAnsiTheme="minorBidi"/>
          <w:b/>
          <w:bCs/>
          <w:sz w:val="24"/>
          <w:szCs w:val="24"/>
        </w:rPr>
        <w:t>Abstract</w:t>
      </w:r>
    </w:p>
    <w:p w14:paraId="2A753EFD" w14:textId="77777777" w:rsidR="00741210" w:rsidRPr="00741210" w:rsidRDefault="00741210" w:rsidP="007D42E7">
      <w:pPr>
        <w:jc w:val="both"/>
      </w:pPr>
      <w:r w:rsidRPr="00CC2538">
        <w:rPr>
          <w:rFonts w:asciiTheme="minorBidi" w:hAnsiTheme="minorBidi"/>
          <w:b/>
          <w:bCs/>
        </w:rPr>
        <w:t>Background:</w:t>
      </w:r>
      <w:r w:rsidRPr="00741210">
        <w:t xml:space="preserve"> </w:t>
      </w:r>
      <w:r w:rsidRPr="002B0C88">
        <w:rPr>
          <w:rFonts w:asciiTheme="minorBidi" w:hAnsiTheme="minorBidi"/>
        </w:rPr>
        <w:t>Transtibial amputation affects mobility and independence, often compromising balance and functional mobility. Physiotherapy interventions focusing on balance and functional training are essential to improve outcomes. This study evaluates the relationship between balance ability, measured by the Berg Balance Scale (BBS), and functional mobility, assessed using the Houghton Scale, in transtibial amputees in Pakistan.</w:t>
      </w:r>
    </w:p>
    <w:p w14:paraId="6EFE47E0" w14:textId="77777777" w:rsidR="00741210" w:rsidRPr="002B0C88" w:rsidRDefault="00741210" w:rsidP="007D42E7">
      <w:pPr>
        <w:jc w:val="both"/>
        <w:rPr>
          <w:rFonts w:asciiTheme="minorBidi" w:hAnsiTheme="minorBidi"/>
        </w:rPr>
      </w:pPr>
      <w:r w:rsidRPr="00CC2538">
        <w:rPr>
          <w:rFonts w:asciiTheme="minorBidi" w:hAnsiTheme="minorBidi"/>
          <w:b/>
          <w:bCs/>
        </w:rPr>
        <w:t>Methods</w:t>
      </w:r>
      <w:r w:rsidRPr="00741210">
        <w:rPr>
          <w:b/>
          <w:bCs/>
        </w:rPr>
        <w:t>:</w:t>
      </w:r>
      <w:r w:rsidRPr="00741210">
        <w:t xml:space="preserve"> </w:t>
      </w:r>
      <w:r w:rsidRPr="002B0C88">
        <w:rPr>
          <w:rFonts w:asciiTheme="minorBidi" w:hAnsiTheme="minorBidi"/>
        </w:rPr>
        <w:t>This cross-sectional study included 30 transtibial amputees aged 20–72 years, recruited from the Sindh Institute of Physical Medicine and Rehabilitation between April and September 2024. Balance and functional mobility were assessed using three tasks from the BBS and the Houghton Scale. Data were analyzed with SPSS 23; descriptive statistics, Chi-square tests, and Spearman’s correlation were applied, with p&lt;0.05 considered significant.</w:t>
      </w:r>
    </w:p>
    <w:p w14:paraId="2C183FA8" w14:textId="77777777" w:rsidR="00741210" w:rsidRPr="002B0C88" w:rsidRDefault="00741210" w:rsidP="007D42E7">
      <w:pPr>
        <w:jc w:val="both"/>
        <w:rPr>
          <w:rFonts w:asciiTheme="minorBidi" w:hAnsiTheme="minorBidi"/>
        </w:rPr>
      </w:pPr>
      <w:r w:rsidRPr="00CC2538">
        <w:rPr>
          <w:rFonts w:asciiTheme="minorBidi" w:hAnsiTheme="minorBidi"/>
          <w:b/>
          <w:bCs/>
        </w:rPr>
        <w:t>Results:</w:t>
      </w:r>
      <w:r w:rsidRPr="00741210">
        <w:t xml:space="preserve"> </w:t>
      </w:r>
      <w:r w:rsidRPr="002B0C88">
        <w:rPr>
          <w:rFonts w:asciiTheme="minorBidi" w:hAnsiTheme="minorBidi"/>
        </w:rPr>
        <w:t>Participants were predominantly male (80%), with half aged 20–35 years. Younger participants and those without diabetes demonstrated higher functional mobility. Most participants (96.7%) engaged in regular exercise, and 43.3% achieved independent community mobility. Older participants had lower balance (BBS: 10.4±1.5) and functional mobility (Houghton: 8.2±1.7) scores. A moderate positive correlation was observed between BBS and Houghton Scale scores (ρ=0.432, p=0.017).</w:t>
      </w:r>
    </w:p>
    <w:p w14:paraId="394EDD6F" w14:textId="77777777" w:rsidR="00741210" w:rsidRPr="002B0C88" w:rsidRDefault="00741210" w:rsidP="00CC2538">
      <w:pPr>
        <w:jc w:val="both"/>
        <w:rPr>
          <w:rFonts w:asciiTheme="minorBidi" w:hAnsiTheme="minorBidi"/>
        </w:rPr>
      </w:pPr>
      <w:r w:rsidRPr="00CC2538">
        <w:rPr>
          <w:rFonts w:asciiTheme="minorBidi" w:hAnsiTheme="minorBidi"/>
          <w:b/>
          <w:bCs/>
        </w:rPr>
        <w:t>Conclusions:</w:t>
      </w:r>
      <w:r w:rsidRPr="00741210">
        <w:t xml:space="preserve"> </w:t>
      </w:r>
      <w:r w:rsidRPr="002B0C88">
        <w:rPr>
          <w:rFonts w:asciiTheme="minorBidi" w:hAnsiTheme="minorBidi"/>
        </w:rPr>
        <w:t>Balance ability is positively associated with functional mobility in transtibial amputees. Targeted balance training improves independence and reduces fall risk. Diabetes and trauma were major causes of amputation. Structured rehabilitation programs are essential for optimizing functional outcomes.</w:t>
      </w:r>
    </w:p>
    <w:p w14:paraId="2191B727" w14:textId="77777777" w:rsidR="00B04CD9" w:rsidRDefault="00741210" w:rsidP="00872CF9">
      <w:pPr>
        <w:jc w:val="both"/>
      </w:pPr>
      <w:r w:rsidRPr="00CC2538">
        <w:rPr>
          <w:rFonts w:asciiTheme="minorBidi" w:hAnsiTheme="minorBidi"/>
          <w:b/>
          <w:bCs/>
        </w:rPr>
        <w:t>Keywords:</w:t>
      </w:r>
      <w:r w:rsidRPr="00741210">
        <w:t xml:space="preserve"> </w:t>
      </w:r>
      <w:r w:rsidRPr="002B0C88">
        <w:rPr>
          <w:rFonts w:asciiTheme="minorBidi" w:hAnsiTheme="minorBidi"/>
        </w:rPr>
        <w:t>Berg Balance Scale, Houghton Scale, Transtibial Amputees, Pakistan</w:t>
      </w:r>
    </w:p>
    <w:p w14:paraId="6E2C261C" w14:textId="77777777" w:rsidR="00872CF9" w:rsidRDefault="00872CF9" w:rsidP="00872CF9">
      <w:pPr>
        <w:jc w:val="both"/>
        <w:rPr>
          <w:b/>
          <w:bCs/>
        </w:rPr>
      </w:pPr>
    </w:p>
    <w:p w14:paraId="0E3F2EC7" w14:textId="77777777" w:rsidR="0009791A" w:rsidRPr="00CC2538" w:rsidRDefault="0009791A" w:rsidP="0009791A">
      <w:pPr>
        <w:rPr>
          <w:rFonts w:asciiTheme="minorBidi" w:hAnsiTheme="minorBidi"/>
          <w:sz w:val="20"/>
          <w:szCs w:val="20"/>
        </w:rPr>
      </w:pPr>
    </w:p>
    <w:p w14:paraId="655FC134" w14:textId="46F04C58" w:rsidR="0009791A" w:rsidRDefault="0009791A" w:rsidP="0009791A">
      <w:r w:rsidRPr="00CC2538">
        <w:rPr>
          <w:rFonts w:asciiTheme="minorBidi" w:hAnsiTheme="minorBidi"/>
          <w:b/>
          <w:bCs/>
        </w:rPr>
        <w:t>Corresponding Author:</w:t>
      </w:r>
      <w:r w:rsidRPr="00741210">
        <w:br/>
      </w:r>
      <w:r w:rsidRPr="00CC2538">
        <w:rPr>
          <w:rFonts w:asciiTheme="minorBidi" w:hAnsiTheme="minorBidi"/>
        </w:rPr>
        <w:t>Bushra Madad Ali Malik, MPHIL</w:t>
      </w:r>
      <w:r w:rsidRPr="00741210">
        <w:t xml:space="preserve"> </w:t>
      </w:r>
      <w:r w:rsidRPr="00741210">
        <w:br/>
      </w:r>
      <w:r w:rsidRPr="00CC2538">
        <w:rPr>
          <w:rFonts w:asciiTheme="minorBidi" w:hAnsiTheme="minorBidi"/>
        </w:rPr>
        <w:t xml:space="preserve">Email: </w:t>
      </w:r>
      <w:hyperlink r:id="rId5" w:history="1">
        <w:r w:rsidRPr="00CC2538">
          <w:rPr>
            <w:rStyle w:val="Hyperlink"/>
            <w:rFonts w:asciiTheme="minorBidi" w:hAnsiTheme="minorBidi"/>
          </w:rPr>
          <w:t>bushramadadalimalik@gmail.com</w:t>
        </w:r>
      </w:hyperlink>
    </w:p>
    <w:p w14:paraId="6EFE8FA7" w14:textId="77777777" w:rsidR="0009791A" w:rsidRPr="0009791A" w:rsidRDefault="0009791A" w:rsidP="0009791A"/>
    <w:p w14:paraId="70EE4FA6" w14:textId="77777777" w:rsidR="00872CF9" w:rsidRPr="00CC2538" w:rsidRDefault="00872CF9" w:rsidP="0009791A">
      <w:pPr>
        <w:jc w:val="center"/>
        <w:rPr>
          <w:rFonts w:asciiTheme="minorBidi" w:hAnsiTheme="minorBidi"/>
          <w:b/>
          <w:bCs/>
          <w:sz w:val="24"/>
          <w:szCs w:val="24"/>
        </w:rPr>
      </w:pPr>
      <w:r w:rsidRPr="00CC2538">
        <w:rPr>
          <w:rFonts w:asciiTheme="minorBidi" w:hAnsiTheme="minorBidi"/>
          <w:b/>
          <w:bCs/>
          <w:sz w:val="24"/>
          <w:szCs w:val="24"/>
        </w:rPr>
        <w:lastRenderedPageBreak/>
        <w:t>Introduction</w:t>
      </w:r>
    </w:p>
    <w:p w14:paraId="017299BB" w14:textId="77777777" w:rsidR="00872CF9" w:rsidRPr="00EA4218" w:rsidRDefault="00872CF9" w:rsidP="0009791A">
      <w:pPr>
        <w:ind w:firstLine="720"/>
        <w:jc w:val="both"/>
        <w:rPr>
          <w:rFonts w:asciiTheme="minorBidi" w:hAnsiTheme="minorBidi"/>
        </w:rPr>
      </w:pPr>
      <w:r w:rsidRPr="00EA4218">
        <w:rPr>
          <w:rFonts w:asciiTheme="minorBidi" w:hAnsiTheme="minorBidi"/>
        </w:rPr>
        <w:t>Amputation, defined as the surgical removal of a body part, significantly impacts an individual’s mobility, independence, and quality of life. Transtibial amputation (below-knee) is among the most common lower-limb amputations and presents challenges in balance, functional mobility, and prosthetic use. Comprehensive rehabilitation strategies are essential to restore mobility, enhance balance, and facilitate reintegration into daily and community activities.¹</w:t>
      </w:r>
    </w:p>
    <w:p w14:paraId="24804951" w14:textId="77777777" w:rsidR="00872CF9" w:rsidRPr="00EA4218" w:rsidRDefault="00872CF9" w:rsidP="0009791A">
      <w:pPr>
        <w:ind w:firstLine="720"/>
        <w:jc w:val="both"/>
        <w:rPr>
          <w:rFonts w:asciiTheme="minorBidi" w:hAnsiTheme="minorBidi"/>
        </w:rPr>
      </w:pPr>
      <w:r w:rsidRPr="00EA4218">
        <w:rPr>
          <w:rFonts w:asciiTheme="minorBidi" w:hAnsiTheme="minorBidi"/>
        </w:rPr>
        <w:t>The etiology of amputation varies globally. Peripheral vascular disease, diabetes mellitus, and trauma are major causes, with regional variations in prevalence.² Traumatic amputations, particularly resulting from road traffic accidents, account for a significant proportion of cases in Asia, with incidence rising between 1990 and 2019.³ In Pakistan, lower-limb amputations are frequently related to diabetes complications and trauma, with diabetic foot complications such as infections and ulcers contributing to 60–80% of cases.⁴ Inadequate diabetes management, delayed medical intervention, and poor adherence to treatment exacerbate the risk of limb loss.⁵</w:t>
      </w:r>
    </w:p>
    <w:p w14:paraId="68896C9C" w14:textId="77777777" w:rsidR="00872CF9" w:rsidRPr="00EA4218" w:rsidRDefault="00872CF9" w:rsidP="0009791A">
      <w:pPr>
        <w:ind w:firstLine="720"/>
        <w:jc w:val="both"/>
        <w:rPr>
          <w:rFonts w:asciiTheme="minorBidi" w:hAnsiTheme="minorBidi"/>
        </w:rPr>
      </w:pPr>
      <w:r w:rsidRPr="00EA4218">
        <w:rPr>
          <w:rFonts w:asciiTheme="minorBidi" w:hAnsiTheme="minorBidi"/>
        </w:rPr>
        <w:t xml:space="preserve">Rehabilitation following transtibial amputation requires a multidisciplinary approach, including physiotherapy, occupational therapy, prosthetic training, and psychological </w:t>
      </w:r>
      <w:r w:rsidR="00CC2538" w:rsidRPr="00EA4218">
        <w:rPr>
          <w:rFonts w:asciiTheme="minorBidi" w:hAnsiTheme="minorBidi"/>
        </w:rPr>
        <w:t>support. ⁶</w:t>
      </w:r>
      <w:r w:rsidRPr="00EA4218">
        <w:rPr>
          <w:rFonts w:asciiTheme="minorBidi" w:hAnsiTheme="minorBidi"/>
        </w:rPr>
        <w:t xml:space="preserve"> Among the key rehabilitation objectives are improving balance, enhancing functional mobility, and reducing the risk of falls. Balance deficits negatively affect the ability to perform daily activities, leading to functional limitations and reduced quality of life.⁷</w:t>
      </w:r>
    </w:p>
    <w:p w14:paraId="7B188D40" w14:textId="77777777" w:rsidR="00872CF9" w:rsidRPr="00EA4218" w:rsidRDefault="00872CF9" w:rsidP="0009791A">
      <w:pPr>
        <w:ind w:firstLine="720"/>
        <w:jc w:val="both"/>
        <w:rPr>
          <w:rFonts w:asciiTheme="minorBidi" w:hAnsiTheme="minorBidi"/>
        </w:rPr>
      </w:pPr>
      <w:r w:rsidRPr="00EA4218">
        <w:rPr>
          <w:rFonts w:asciiTheme="minorBidi" w:hAnsiTheme="minorBidi"/>
        </w:rPr>
        <w:t xml:space="preserve">Validated tools such as the Berg Balance Scale (BBS) and the Houghton Scale are widely used to assess balance ability and functional mobility in amputee </w:t>
      </w:r>
      <w:r w:rsidR="00CC2538" w:rsidRPr="00EA4218">
        <w:rPr>
          <w:rFonts w:asciiTheme="minorBidi" w:hAnsiTheme="minorBidi"/>
        </w:rPr>
        <w:t>populations. ⁸,</w:t>
      </w:r>
      <w:r w:rsidRPr="00EA4218">
        <w:rPr>
          <w:rFonts w:asciiTheme="minorBidi" w:hAnsiTheme="minorBidi"/>
        </w:rPr>
        <w:t>⁹ Prior studies have demonstrated that balance training and functional exercises improve prosthetic use, reduce fall risk, and support community reintegration.¹⁰</w:t>
      </w:r>
    </w:p>
    <w:p w14:paraId="77EFBA0C" w14:textId="77777777" w:rsidR="00872CF9" w:rsidRPr="00EA4218" w:rsidRDefault="00872CF9" w:rsidP="0009791A">
      <w:pPr>
        <w:ind w:firstLine="720"/>
        <w:jc w:val="both"/>
        <w:rPr>
          <w:rFonts w:asciiTheme="minorBidi" w:hAnsiTheme="minorBidi"/>
        </w:rPr>
      </w:pPr>
      <w:r w:rsidRPr="00EA4218">
        <w:rPr>
          <w:rFonts w:asciiTheme="minorBidi" w:hAnsiTheme="minorBidi"/>
        </w:rPr>
        <w:t>Despite the clinical significance of balance and mobility in transtibial amputees, data from Pakistan remain limited. This study aimed to investigate the relationship between balance ability and functional mobility in transtibial amputee patients, providing evidence to guide rehabilitation strategies tailored to this population.</w:t>
      </w:r>
    </w:p>
    <w:p w14:paraId="42C14A7B" w14:textId="77777777" w:rsidR="00872CF9" w:rsidRPr="00CC2538" w:rsidRDefault="00872CF9" w:rsidP="0009791A">
      <w:pPr>
        <w:jc w:val="center"/>
        <w:rPr>
          <w:rFonts w:asciiTheme="minorBidi" w:hAnsiTheme="minorBidi"/>
          <w:b/>
          <w:bCs/>
          <w:sz w:val="24"/>
          <w:szCs w:val="24"/>
        </w:rPr>
      </w:pPr>
      <w:r w:rsidRPr="00CC2538">
        <w:rPr>
          <w:rFonts w:asciiTheme="minorBidi" w:hAnsiTheme="minorBidi"/>
          <w:b/>
          <w:bCs/>
          <w:sz w:val="24"/>
          <w:szCs w:val="24"/>
        </w:rPr>
        <w:t>Methods</w:t>
      </w:r>
    </w:p>
    <w:p w14:paraId="0C532EB9" w14:textId="77777777" w:rsidR="00872CF9" w:rsidRPr="00CC2538" w:rsidRDefault="00872CF9" w:rsidP="00872CF9">
      <w:pPr>
        <w:jc w:val="both"/>
        <w:rPr>
          <w:rFonts w:asciiTheme="minorBidi" w:hAnsiTheme="minorBidi"/>
          <w:b/>
          <w:bCs/>
        </w:rPr>
      </w:pPr>
      <w:r w:rsidRPr="00CC2538">
        <w:rPr>
          <w:rFonts w:asciiTheme="minorBidi" w:hAnsiTheme="minorBidi"/>
          <w:b/>
          <w:bCs/>
        </w:rPr>
        <w:t>Study Design and Setting</w:t>
      </w:r>
    </w:p>
    <w:p w14:paraId="6E34211B" w14:textId="77777777" w:rsidR="00872CF9" w:rsidRPr="00EA4218" w:rsidRDefault="00872CF9" w:rsidP="0009791A">
      <w:pPr>
        <w:ind w:firstLine="720"/>
        <w:jc w:val="both"/>
        <w:rPr>
          <w:rFonts w:asciiTheme="minorBidi" w:hAnsiTheme="minorBidi"/>
        </w:rPr>
      </w:pPr>
      <w:r w:rsidRPr="00EA4218">
        <w:rPr>
          <w:rFonts w:asciiTheme="minorBidi" w:hAnsiTheme="minorBidi"/>
        </w:rPr>
        <w:t>This cross-sectional, descriptive study was conducted between April and September 2024 at the Sindh Institute of Physical Medicine and Rehabilitation (SIPMR), a multidisciplinary center equipped for comprehensive amputee care. The study was designed to evaluate the relationship between balance ability and functional mobility in transtibial amputee patients.</w:t>
      </w:r>
    </w:p>
    <w:p w14:paraId="60E707F6" w14:textId="77777777" w:rsidR="00872CF9" w:rsidRPr="00CC2538" w:rsidRDefault="00872CF9" w:rsidP="00872CF9">
      <w:pPr>
        <w:jc w:val="both"/>
        <w:rPr>
          <w:rFonts w:asciiTheme="minorBidi" w:hAnsiTheme="minorBidi"/>
          <w:b/>
          <w:bCs/>
        </w:rPr>
      </w:pPr>
      <w:r w:rsidRPr="00CC2538">
        <w:rPr>
          <w:rFonts w:asciiTheme="minorBidi" w:hAnsiTheme="minorBidi"/>
          <w:b/>
          <w:bCs/>
        </w:rPr>
        <w:t>Participants</w:t>
      </w:r>
    </w:p>
    <w:p w14:paraId="1A294BA6" w14:textId="77777777" w:rsidR="00872CF9" w:rsidRPr="00EA4218" w:rsidRDefault="00872CF9" w:rsidP="0009791A">
      <w:pPr>
        <w:ind w:firstLine="720"/>
        <w:jc w:val="both"/>
        <w:rPr>
          <w:rFonts w:asciiTheme="minorBidi" w:hAnsiTheme="minorBidi"/>
        </w:rPr>
      </w:pPr>
      <w:r w:rsidRPr="00EA4218">
        <w:rPr>
          <w:rFonts w:asciiTheme="minorBidi" w:hAnsiTheme="minorBidi"/>
        </w:rPr>
        <w:t>A total of 30 participants with unilateral transtibial amputation, aged 20–72 years, were recruited using a convenience sampling method. Participants with cognitive impairments limiting their understanding of study procedures were excluded. The sample size was calculated based on a correlation coefficient of 0.69 between BBS and Houghton Scale scores, at α = 0.05 and 80% power (β = 0.2), exceeding the minimum required sample of 14 participants.</w:t>
      </w:r>
    </w:p>
    <w:p w14:paraId="2EB40B7B" w14:textId="77777777" w:rsidR="0009791A" w:rsidRDefault="0009791A" w:rsidP="00872CF9">
      <w:pPr>
        <w:jc w:val="both"/>
        <w:rPr>
          <w:rFonts w:asciiTheme="minorBidi" w:hAnsiTheme="minorBidi"/>
          <w:b/>
          <w:bCs/>
        </w:rPr>
      </w:pPr>
    </w:p>
    <w:p w14:paraId="660018FB" w14:textId="77777777" w:rsidR="0009791A" w:rsidRDefault="0009791A" w:rsidP="00872CF9">
      <w:pPr>
        <w:jc w:val="both"/>
        <w:rPr>
          <w:rFonts w:asciiTheme="minorBidi" w:hAnsiTheme="minorBidi"/>
          <w:b/>
          <w:bCs/>
        </w:rPr>
      </w:pPr>
    </w:p>
    <w:p w14:paraId="3D47ECA2" w14:textId="4C29431A" w:rsidR="00872CF9" w:rsidRPr="00CC2538" w:rsidRDefault="00872CF9" w:rsidP="0009791A">
      <w:pPr>
        <w:jc w:val="center"/>
        <w:rPr>
          <w:rFonts w:asciiTheme="minorBidi" w:hAnsiTheme="minorBidi"/>
          <w:b/>
          <w:bCs/>
        </w:rPr>
      </w:pPr>
      <w:r w:rsidRPr="00CC2538">
        <w:rPr>
          <w:rFonts w:asciiTheme="minorBidi" w:hAnsiTheme="minorBidi"/>
          <w:b/>
          <w:bCs/>
        </w:rPr>
        <w:lastRenderedPageBreak/>
        <w:t>Ethical Considerations</w:t>
      </w:r>
    </w:p>
    <w:p w14:paraId="0B4DC7B7" w14:textId="77777777" w:rsidR="00872CF9" w:rsidRPr="00EA4218" w:rsidRDefault="00872CF9" w:rsidP="0009791A">
      <w:pPr>
        <w:ind w:firstLine="720"/>
        <w:jc w:val="both"/>
        <w:rPr>
          <w:rFonts w:asciiTheme="minorBidi" w:hAnsiTheme="minorBidi"/>
        </w:rPr>
      </w:pPr>
      <w:r w:rsidRPr="00EA4218">
        <w:rPr>
          <w:rFonts w:asciiTheme="minorBidi" w:hAnsiTheme="minorBidi"/>
        </w:rPr>
        <w:t>The study was approved by the Institute’s Ethics Review Committee (ERC number: PGC-ERC/2024-03/03). The requirement for written informed consent was waived due to the observational nature of the study. All procedures adhered to the principles of the Declaration of Helsinki.</w:t>
      </w:r>
    </w:p>
    <w:p w14:paraId="41F3682F" w14:textId="77777777" w:rsidR="00872CF9" w:rsidRPr="00CC2538" w:rsidRDefault="00872CF9" w:rsidP="0009791A">
      <w:pPr>
        <w:jc w:val="center"/>
        <w:rPr>
          <w:rFonts w:asciiTheme="minorBidi" w:hAnsiTheme="minorBidi"/>
          <w:b/>
          <w:bCs/>
          <w:sz w:val="24"/>
          <w:szCs w:val="24"/>
        </w:rPr>
      </w:pPr>
      <w:r w:rsidRPr="00CC2538">
        <w:rPr>
          <w:rFonts w:asciiTheme="minorBidi" w:hAnsiTheme="minorBidi"/>
          <w:b/>
          <w:bCs/>
          <w:sz w:val="24"/>
          <w:szCs w:val="24"/>
        </w:rPr>
        <w:t>Data Collection</w:t>
      </w:r>
    </w:p>
    <w:p w14:paraId="31F0AF76" w14:textId="77777777" w:rsidR="00872CF9" w:rsidRPr="00CC2538" w:rsidRDefault="00872CF9" w:rsidP="00872CF9">
      <w:pPr>
        <w:jc w:val="both"/>
        <w:rPr>
          <w:rFonts w:asciiTheme="minorBidi" w:hAnsiTheme="minorBidi"/>
          <w:b/>
          <w:bCs/>
        </w:rPr>
      </w:pPr>
      <w:r w:rsidRPr="00CC2538">
        <w:rPr>
          <w:rFonts w:asciiTheme="minorBidi" w:hAnsiTheme="minorBidi"/>
          <w:b/>
          <w:bCs/>
        </w:rPr>
        <w:t>Demographics and Clinical Characteristics</w:t>
      </w:r>
    </w:p>
    <w:p w14:paraId="79881A48" w14:textId="77777777" w:rsidR="00872CF9" w:rsidRPr="00EA4218" w:rsidRDefault="00872CF9" w:rsidP="0009791A">
      <w:pPr>
        <w:ind w:firstLine="720"/>
        <w:jc w:val="both"/>
        <w:rPr>
          <w:rFonts w:asciiTheme="minorBidi" w:hAnsiTheme="minorBidi"/>
        </w:rPr>
      </w:pPr>
      <w:r w:rsidRPr="00EA4218">
        <w:rPr>
          <w:rFonts w:asciiTheme="minorBidi" w:hAnsiTheme="minorBidi"/>
        </w:rPr>
        <w:t>Participants’ age, gender, body mass index (BMI), amputation etiology, comorbidities, duration of amputation, and exercise habits were recorded.</w:t>
      </w:r>
    </w:p>
    <w:p w14:paraId="756522E1" w14:textId="77777777" w:rsidR="00872CF9" w:rsidRPr="00CC2538" w:rsidRDefault="00872CF9" w:rsidP="00872CF9">
      <w:pPr>
        <w:jc w:val="both"/>
        <w:rPr>
          <w:rFonts w:asciiTheme="minorBidi" w:hAnsiTheme="minorBidi"/>
          <w:b/>
          <w:bCs/>
        </w:rPr>
      </w:pPr>
      <w:r w:rsidRPr="00CC2538">
        <w:rPr>
          <w:rFonts w:asciiTheme="minorBidi" w:hAnsiTheme="minorBidi"/>
          <w:b/>
          <w:bCs/>
        </w:rPr>
        <w:t>Outcome Measures</w:t>
      </w:r>
    </w:p>
    <w:p w14:paraId="43F81324" w14:textId="77777777" w:rsidR="00872CF9" w:rsidRPr="00EA4218" w:rsidRDefault="00872CF9" w:rsidP="00872CF9">
      <w:pPr>
        <w:jc w:val="both"/>
        <w:rPr>
          <w:rFonts w:asciiTheme="minorBidi" w:hAnsiTheme="minorBidi"/>
        </w:rPr>
      </w:pPr>
      <w:r w:rsidRPr="00EA4218">
        <w:rPr>
          <w:rFonts w:asciiTheme="minorBidi" w:hAnsiTheme="minorBidi"/>
        </w:rPr>
        <w:t>Balance and functional mobility were assessed using the following validated instruments:</w:t>
      </w:r>
    </w:p>
    <w:p w14:paraId="1F031A3B" w14:textId="77777777" w:rsidR="00872CF9" w:rsidRPr="00EA4218" w:rsidRDefault="00872CF9" w:rsidP="00872CF9">
      <w:pPr>
        <w:numPr>
          <w:ilvl w:val="0"/>
          <w:numId w:val="4"/>
        </w:numPr>
        <w:jc w:val="both"/>
        <w:rPr>
          <w:rFonts w:asciiTheme="minorBidi" w:hAnsiTheme="minorBidi"/>
        </w:rPr>
      </w:pPr>
      <w:r w:rsidRPr="00CC2538">
        <w:rPr>
          <w:rFonts w:asciiTheme="minorBidi" w:hAnsiTheme="minorBidi"/>
          <w:b/>
          <w:bCs/>
        </w:rPr>
        <w:t>Berg Balance Scale (BBS)</w:t>
      </w:r>
      <w:r w:rsidRPr="00872CF9">
        <w:t xml:space="preserve"> </w:t>
      </w:r>
      <w:r w:rsidRPr="00EA4218">
        <w:rPr>
          <w:rFonts w:asciiTheme="minorBidi" w:hAnsiTheme="minorBidi"/>
        </w:rPr>
        <w:t>– Three tasks were selected from the original 14-task scale, focusing on:</w:t>
      </w:r>
    </w:p>
    <w:p w14:paraId="55120E38" w14:textId="77777777" w:rsidR="00872CF9" w:rsidRPr="00EA4218" w:rsidRDefault="00872CF9" w:rsidP="00872CF9">
      <w:pPr>
        <w:numPr>
          <w:ilvl w:val="1"/>
          <w:numId w:val="4"/>
        </w:numPr>
        <w:jc w:val="both"/>
        <w:rPr>
          <w:rFonts w:asciiTheme="minorBidi" w:hAnsiTheme="minorBidi"/>
        </w:rPr>
      </w:pPr>
      <w:r w:rsidRPr="00EA4218">
        <w:rPr>
          <w:rFonts w:asciiTheme="minorBidi" w:hAnsiTheme="minorBidi"/>
        </w:rPr>
        <w:t>Standing with eyes closed</w:t>
      </w:r>
    </w:p>
    <w:p w14:paraId="30B84A71" w14:textId="77777777" w:rsidR="00872CF9" w:rsidRPr="00EA4218" w:rsidRDefault="00872CF9" w:rsidP="00872CF9">
      <w:pPr>
        <w:numPr>
          <w:ilvl w:val="1"/>
          <w:numId w:val="4"/>
        </w:numPr>
        <w:jc w:val="both"/>
        <w:rPr>
          <w:rFonts w:asciiTheme="minorBidi" w:hAnsiTheme="minorBidi"/>
        </w:rPr>
      </w:pPr>
      <w:r w:rsidRPr="00EA4218">
        <w:rPr>
          <w:rFonts w:asciiTheme="minorBidi" w:hAnsiTheme="minorBidi"/>
        </w:rPr>
        <w:t>Looking behind over the shoulders</w:t>
      </w:r>
    </w:p>
    <w:p w14:paraId="290CB18F" w14:textId="77777777" w:rsidR="00872CF9" w:rsidRPr="00EA4218" w:rsidRDefault="00872CF9" w:rsidP="00872CF9">
      <w:pPr>
        <w:numPr>
          <w:ilvl w:val="1"/>
          <w:numId w:val="4"/>
        </w:numPr>
        <w:rPr>
          <w:rFonts w:asciiTheme="minorBidi" w:hAnsiTheme="minorBidi"/>
        </w:rPr>
      </w:pPr>
      <w:r w:rsidRPr="00EA4218">
        <w:rPr>
          <w:rFonts w:asciiTheme="minorBidi" w:hAnsiTheme="minorBidi"/>
        </w:rPr>
        <w:t>Turning 360°</w:t>
      </w:r>
      <w:r w:rsidRPr="00EA4218">
        <w:rPr>
          <w:rFonts w:asciiTheme="minorBidi" w:hAnsiTheme="minorBidi"/>
        </w:rPr>
        <w:br/>
        <w:t>Each task was scored from 0 to 4, with higher scores indicating better balance ability.</w:t>
      </w:r>
    </w:p>
    <w:p w14:paraId="670492FD" w14:textId="77777777" w:rsidR="00872CF9" w:rsidRPr="00EA4218" w:rsidRDefault="00872CF9" w:rsidP="00872CF9">
      <w:pPr>
        <w:numPr>
          <w:ilvl w:val="0"/>
          <w:numId w:val="4"/>
        </w:numPr>
        <w:jc w:val="both"/>
        <w:rPr>
          <w:rFonts w:asciiTheme="minorBidi" w:hAnsiTheme="minorBidi"/>
        </w:rPr>
      </w:pPr>
      <w:r w:rsidRPr="0024399C">
        <w:rPr>
          <w:rFonts w:asciiTheme="minorBidi" w:hAnsiTheme="minorBidi"/>
          <w:b/>
          <w:bCs/>
        </w:rPr>
        <w:t>Houghton Scale</w:t>
      </w:r>
      <w:r w:rsidRPr="00872CF9">
        <w:t xml:space="preserve"> – </w:t>
      </w:r>
      <w:r w:rsidRPr="00EA4218">
        <w:rPr>
          <w:rFonts w:asciiTheme="minorBidi" w:hAnsiTheme="minorBidi"/>
        </w:rPr>
        <w:t>Used to assess functional mobility and prosthetic use, scored from 0 to 12, with higher scores indicating greater independence.</w:t>
      </w:r>
    </w:p>
    <w:p w14:paraId="3587DE29" w14:textId="77777777" w:rsidR="00872CF9" w:rsidRPr="0024399C" w:rsidRDefault="00872CF9" w:rsidP="00872CF9">
      <w:pPr>
        <w:jc w:val="both"/>
        <w:rPr>
          <w:rFonts w:asciiTheme="minorBidi" w:hAnsiTheme="minorBidi"/>
          <w:b/>
          <w:bCs/>
        </w:rPr>
      </w:pPr>
      <w:r w:rsidRPr="0024399C">
        <w:rPr>
          <w:rFonts w:asciiTheme="minorBidi" w:hAnsiTheme="minorBidi"/>
          <w:b/>
          <w:bCs/>
        </w:rPr>
        <w:t>Procedure</w:t>
      </w:r>
    </w:p>
    <w:p w14:paraId="3862941A" w14:textId="77777777" w:rsidR="00872CF9" w:rsidRPr="00EA4218" w:rsidRDefault="00872CF9" w:rsidP="0009791A">
      <w:pPr>
        <w:ind w:firstLine="720"/>
        <w:jc w:val="both"/>
        <w:rPr>
          <w:rFonts w:asciiTheme="minorBidi" w:hAnsiTheme="minorBidi"/>
        </w:rPr>
      </w:pPr>
      <w:r w:rsidRPr="00EA4218">
        <w:rPr>
          <w:rFonts w:asciiTheme="minorBidi" w:hAnsiTheme="minorBidi"/>
        </w:rPr>
        <w:t>Observational assessments were conducted by trained physiotherapists. Participants performed the three selected BBS tasks and completed the Houghton Scale questionnaire regarding their functional mobility in household and community settings.</w:t>
      </w:r>
    </w:p>
    <w:p w14:paraId="38D86EAE" w14:textId="77777777" w:rsidR="00872CF9" w:rsidRPr="0024399C" w:rsidRDefault="00872CF9" w:rsidP="00872CF9">
      <w:pPr>
        <w:jc w:val="both"/>
        <w:rPr>
          <w:rFonts w:asciiTheme="minorBidi" w:hAnsiTheme="minorBidi"/>
          <w:b/>
          <w:bCs/>
        </w:rPr>
      </w:pPr>
      <w:r w:rsidRPr="0024399C">
        <w:rPr>
          <w:rFonts w:asciiTheme="minorBidi" w:hAnsiTheme="minorBidi"/>
          <w:b/>
          <w:bCs/>
        </w:rPr>
        <w:t>Statistical Analysis</w:t>
      </w:r>
    </w:p>
    <w:p w14:paraId="621ADCC1" w14:textId="77777777" w:rsidR="003C61AA" w:rsidRPr="00EA4218" w:rsidRDefault="00872CF9" w:rsidP="0009791A">
      <w:pPr>
        <w:ind w:firstLine="720"/>
        <w:jc w:val="both"/>
        <w:rPr>
          <w:rFonts w:asciiTheme="minorBidi" w:hAnsiTheme="minorBidi"/>
        </w:rPr>
      </w:pPr>
      <w:r w:rsidRPr="00EA4218">
        <w:rPr>
          <w:rFonts w:asciiTheme="minorBidi" w:hAnsiTheme="minorBidi"/>
        </w:rPr>
        <w:t>Data were analyzed using SPSS version 23. Descriptive statistics (mean ± standard deviation, frequency, and percentages) were used to summarize participant characteristics. Associations between categorical variables (e.g., age, comorbidities) and functional outcomes were examined using the Chi-square test. The Spearman correlation coefficient (ρ) was calculated to assess the relationship between BBS scores and Houghton Scale scores. A p-value &lt;0.05 was considered statistically significant.</w:t>
      </w:r>
    </w:p>
    <w:p w14:paraId="3B93C642" w14:textId="77777777" w:rsidR="003C61AA" w:rsidRPr="0024399C" w:rsidRDefault="003C61AA" w:rsidP="0009791A">
      <w:pPr>
        <w:jc w:val="center"/>
        <w:rPr>
          <w:rFonts w:asciiTheme="minorBidi" w:hAnsiTheme="minorBidi"/>
          <w:b/>
          <w:bCs/>
        </w:rPr>
      </w:pPr>
      <w:r w:rsidRPr="0024399C">
        <w:rPr>
          <w:rFonts w:asciiTheme="minorBidi" w:hAnsiTheme="minorBidi"/>
          <w:b/>
          <w:bCs/>
        </w:rPr>
        <w:t>Results</w:t>
      </w:r>
    </w:p>
    <w:p w14:paraId="2F29AC44" w14:textId="77777777" w:rsidR="003C61AA" w:rsidRPr="00EA4218" w:rsidRDefault="003C61AA" w:rsidP="0009791A">
      <w:pPr>
        <w:ind w:firstLine="720"/>
        <w:jc w:val="both"/>
        <w:rPr>
          <w:rFonts w:asciiTheme="minorBidi" w:hAnsiTheme="minorBidi"/>
        </w:rPr>
      </w:pPr>
      <w:r w:rsidRPr="00EA4218">
        <w:rPr>
          <w:rFonts w:asciiTheme="minorBidi" w:hAnsiTheme="minorBidi"/>
        </w:rPr>
        <w:t>A total of 30 transtibial amputee patients participated in the study. Half of the participants (50%, 15/30) were aged 20–35 years. The majority were male (80%, 24/30), with a male-to-female ratio of 4:1 (</w:t>
      </w:r>
      <w:r w:rsidR="00260ACD">
        <w:rPr>
          <w:rFonts w:asciiTheme="minorBidi" w:hAnsiTheme="minorBidi"/>
        </w:rPr>
        <w:t>Table</w:t>
      </w:r>
      <w:r w:rsidRPr="00EA4218">
        <w:rPr>
          <w:rFonts w:asciiTheme="minorBidi" w:hAnsiTheme="minorBidi"/>
        </w:rPr>
        <w:t xml:space="preserve"> 1).</w:t>
      </w:r>
    </w:p>
    <w:p w14:paraId="7CFB3C50" w14:textId="77777777" w:rsidR="003C61AA" w:rsidRDefault="003C61AA" w:rsidP="003C61AA">
      <w:pPr>
        <w:jc w:val="both"/>
        <w:rPr>
          <w:b/>
          <w:bCs/>
        </w:rPr>
      </w:pPr>
    </w:p>
    <w:p w14:paraId="4D45BFF9" w14:textId="77777777" w:rsidR="003B2F0A" w:rsidRDefault="003B2F0A" w:rsidP="004E08AB">
      <w:pPr>
        <w:jc w:val="center"/>
      </w:pPr>
      <w:r>
        <w:rPr>
          <w:rFonts w:asciiTheme="minorBidi" w:hAnsiTheme="minorBidi"/>
          <w:b/>
          <w:bCs/>
        </w:rPr>
        <w:lastRenderedPageBreak/>
        <w:t xml:space="preserve">Table </w:t>
      </w:r>
      <w:r w:rsidR="003C61AA" w:rsidRPr="0024399C">
        <w:rPr>
          <w:rFonts w:asciiTheme="minorBidi" w:hAnsiTheme="minorBidi"/>
          <w:b/>
          <w:bCs/>
        </w:rPr>
        <w:t>1. Frequency of Amputee Participants by Gender</w:t>
      </w:r>
      <w:r w:rsidR="003C61AA" w:rsidRPr="003C61AA">
        <w:br/>
      </w:r>
    </w:p>
    <w:tbl>
      <w:tblPr>
        <w:tblpPr w:leftFromText="180" w:rightFromText="180" w:vertAnchor="page" w:horzAnchor="page" w:tblpX="4291" w:tblpY="2161"/>
        <w:tblW w:w="1509" w:type="pct"/>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205"/>
        <w:gridCol w:w="1049"/>
        <w:gridCol w:w="568"/>
      </w:tblGrid>
      <w:tr w:rsidR="00260ACD" w:rsidRPr="006F60D6" w14:paraId="422BF9A9" w14:textId="77777777" w:rsidTr="00260ACD">
        <w:trPr>
          <w:trHeight w:val="450"/>
          <w:tblCellSpacing w:w="15" w:type="dxa"/>
        </w:trPr>
        <w:tc>
          <w:tcPr>
            <w:tcW w:w="2055" w:type="pct"/>
            <w:tcBorders>
              <w:bottom w:val="single" w:sz="4" w:space="0" w:color="auto"/>
            </w:tcBorders>
            <w:vAlign w:val="center"/>
            <w:hideMark/>
          </w:tcPr>
          <w:p w14:paraId="07E2977D" w14:textId="77777777" w:rsidR="00260ACD" w:rsidRPr="00260ACD" w:rsidRDefault="00260ACD" w:rsidP="00260ACD">
            <w:pPr>
              <w:spacing w:before="120" w:after="120" w:line="240" w:lineRule="auto"/>
              <w:jc w:val="center"/>
              <w:rPr>
                <w:rFonts w:asciiTheme="minorBidi" w:eastAsia="Times New Roman" w:hAnsiTheme="minorBidi"/>
              </w:rPr>
            </w:pPr>
            <w:r w:rsidRPr="00260ACD">
              <w:rPr>
                <w:rFonts w:asciiTheme="minorBidi" w:eastAsia="Times New Roman" w:hAnsiTheme="minorBidi"/>
                <w:b/>
                <w:bCs/>
              </w:rPr>
              <w:t>Gender</w:t>
            </w:r>
          </w:p>
        </w:tc>
        <w:tc>
          <w:tcPr>
            <w:tcW w:w="1805" w:type="pct"/>
            <w:tcBorders>
              <w:bottom w:val="single" w:sz="4" w:space="0" w:color="auto"/>
            </w:tcBorders>
            <w:vAlign w:val="center"/>
            <w:hideMark/>
          </w:tcPr>
          <w:p w14:paraId="1ADA5CB2" w14:textId="77777777" w:rsidR="00260ACD" w:rsidRPr="00260ACD" w:rsidRDefault="00260ACD" w:rsidP="00260ACD">
            <w:pPr>
              <w:spacing w:before="120" w:after="120" w:line="240" w:lineRule="auto"/>
              <w:jc w:val="center"/>
              <w:rPr>
                <w:rFonts w:asciiTheme="minorBidi" w:eastAsia="Times New Roman" w:hAnsiTheme="minorBidi"/>
              </w:rPr>
            </w:pPr>
          </w:p>
        </w:tc>
        <w:tc>
          <w:tcPr>
            <w:tcW w:w="927" w:type="pct"/>
            <w:vMerge w:val="restart"/>
            <w:tcBorders>
              <w:left w:val="single" w:sz="4" w:space="0" w:color="auto"/>
            </w:tcBorders>
            <w:vAlign w:val="center"/>
            <w:hideMark/>
          </w:tcPr>
          <w:p w14:paraId="4622DAAD" w14:textId="77777777" w:rsidR="00260ACD" w:rsidRPr="006F60D6" w:rsidRDefault="00260ACD" w:rsidP="00260ACD">
            <w:pPr>
              <w:spacing w:before="120" w:after="120" w:line="240" w:lineRule="auto"/>
              <w:jc w:val="center"/>
              <w:rPr>
                <w:rFonts w:ascii="Times New Roman" w:eastAsia="Times New Roman" w:hAnsi="Times New Roman" w:cs="Times New Roman"/>
                <w:sz w:val="24"/>
                <w:szCs w:val="24"/>
              </w:rPr>
            </w:pPr>
          </w:p>
        </w:tc>
      </w:tr>
      <w:tr w:rsidR="00260ACD" w:rsidRPr="006F60D6" w14:paraId="1B74162F" w14:textId="77777777" w:rsidTr="00260ACD">
        <w:trPr>
          <w:trHeight w:val="463"/>
          <w:tblCellSpacing w:w="15" w:type="dxa"/>
        </w:trPr>
        <w:tc>
          <w:tcPr>
            <w:tcW w:w="2055" w:type="pct"/>
            <w:vAlign w:val="center"/>
            <w:hideMark/>
          </w:tcPr>
          <w:p w14:paraId="2C15A7EE" w14:textId="77777777" w:rsidR="00260ACD" w:rsidRPr="00260ACD" w:rsidRDefault="00260ACD" w:rsidP="00260ACD">
            <w:pPr>
              <w:spacing w:before="120" w:after="120" w:line="240" w:lineRule="auto"/>
              <w:jc w:val="center"/>
              <w:rPr>
                <w:rFonts w:asciiTheme="minorBidi" w:eastAsia="Times New Roman" w:hAnsiTheme="minorBidi"/>
              </w:rPr>
            </w:pPr>
            <w:r w:rsidRPr="00260ACD">
              <w:rPr>
                <w:rFonts w:asciiTheme="minorBidi" w:eastAsia="Times New Roman" w:hAnsiTheme="minorBidi"/>
                <w:noProof/>
              </w:rPr>
              <w:t>Male</w:t>
            </w:r>
          </w:p>
        </w:tc>
        <w:tc>
          <w:tcPr>
            <w:tcW w:w="1805" w:type="pct"/>
            <w:tcBorders>
              <w:left w:val="single" w:sz="4" w:space="0" w:color="auto"/>
            </w:tcBorders>
            <w:vAlign w:val="center"/>
            <w:hideMark/>
          </w:tcPr>
          <w:p w14:paraId="55D81FA4" w14:textId="77777777" w:rsidR="00260ACD" w:rsidRPr="00260ACD" w:rsidRDefault="00260ACD" w:rsidP="00260ACD">
            <w:pPr>
              <w:spacing w:before="120" w:after="120" w:line="240" w:lineRule="auto"/>
              <w:jc w:val="center"/>
              <w:rPr>
                <w:rFonts w:asciiTheme="minorBidi" w:eastAsia="Times New Roman" w:hAnsiTheme="minorBidi"/>
              </w:rPr>
            </w:pPr>
            <w:r w:rsidRPr="00260ACD">
              <w:rPr>
                <w:rFonts w:asciiTheme="minorBidi" w:eastAsia="Times New Roman" w:hAnsiTheme="minorBidi"/>
              </w:rPr>
              <w:t>24 (80.0%)</w:t>
            </w:r>
          </w:p>
        </w:tc>
        <w:tc>
          <w:tcPr>
            <w:tcW w:w="927" w:type="pct"/>
            <w:vMerge/>
            <w:tcBorders>
              <w:left w:val="single" w:sz="4" w:space="0" w:color="auto"/>
            </w:tcBorders>
            <w:vAlign w:val="center"/>
            <w:hideMark/>
          </w:tcPr>
          <w:p w14:paraId="5F42A9AC" w14:textId="77777777" w:rsidR="00260ACD" w:rsidRPr="006F60D6" w:rsidRDefault="00260ACD" w:rsidP="00260ACD">
            <w:pPr>
              <w:spacing w:before="120" w:after="120" w:line="240" w:lineRule="auto"/>
              <w:jc w:val="center"/>
              <w:rPr>
                <w:rFonts w:ascii="Times New Roman" w:eastAsia="Times New Roman" w:hAnsi="Times New Roman" w:cs="Times New Roman"/>
                <w:sz w:val="24"/>
                <w:szCs w:val="24"/>
              </w:rPr>
            </w:pPr>
          </w:p>
        </w:tc>
      </w:tr>
      <w:tr w:rsidR="00260ACD" w:rsidRPr="006F60D6" w14:paraId="276E567C" w14:textId="77777777" w:rsidTr="00260ACD">
        <w:trPr>
          <w:trHeight w:val="49"/>
          <w:tblCellSpacing w:w="15" w:type="dxa"/>
        </w:trPr>
        <w:tc>
          <w:tcPr>
            <w:tcW w:w="2055" w:type="pct"/>
            <w:vAlign w:val="center"/>
            <w:hideMark/>
          </w:tcPr>
          <w:p w14:paraId="4F83D5BA" w14:textId="77777777" w:rsidR="00260ACD" w:rsidRPr="00260ACD" w:rsidRDefault="00260ACD" w:rsidP="00260ACD">
            <w:pPr>
              <w:spacing w:before="120" w:after="120" w:line="240" w:lineRule="auto"/>
              <w:jc w:val="center"/>
              <w:rPr>
                <w:rFonts w:asciiTheme="minorBidi" w:eastAsia="Times New Roman" w:hAnsiTheme="minorBidi"/>
              </w:rPr>
            </w:pPr>
            <w:r w:rsidRPr="00260ACD">
              <w:rPr>
                <w:rFonts w:asciiTheme="minorBidi" w:eastAsia="Times New Roman" w:hAnsiTheme="minorBidi"/>
              </w:rPr>
              <w:t>Female</w:t>
            </w:r>
          </w:p>
        </w:tc>
        <w:tc>
          <w:tcPr>
            <w:tcW w:w="1805" w:type="pct"/>
            <w:tcBorders>
              <w:left w:val="single" w:sz="4" w:space="0" w:color="auto"/>
            </w:tcBorders>
            <w:vAlign w:val="center"/>
            <w:hideMark/>
          </w:tcPr>
          <w:p w14:paraId="0FAB1372" w14:textId="77777777" w:rsidR="00260ACD" w:rsidRPr="00260ACD" w:rsidRDefault="00260ACD" w:rsidP="00260ACD">
            <w:pPr>
              <w:spacing w:before="120" w:after="120" w:line="240" w:lineRule="auto"/>
              <w:jc w:val="center"/>
              <w:rPr>
                <w:rFonts w:asciiTheme="minorBidi" w:eastAsia="Times New Roman" w:hAnsiTheme="minorBidi"/>
              </w:rPr>
            </w:pPr>
            <w:r w:rsidRPr="00260ACD">
              <w:rPr>
                <w:rFonts w:asciiTheme="minorBidi" w:eastAsia="Times New Roman" w:hAnsiTheme="minorBidi"/>
              </w:rPr>
              <w:t>6 (20.0%)</w:t>
            </w:r>
          </w:p>
        </w:tc>
        <w:tc>
          <w:tcPr>
            <w:tcW w:w="927" w:type="pct"/>
            <w:tcBorders>
              <w:left w:val="single" w:sz="4" w:space="0" w:color="auto"/>
            </w:tcBorders>
            <w:vAlign w:val="center"/>
            <w:hideMark/>
          </w:tcPr>
          <w:p w14:paraId="3115ABD8" w14:textId="77777777" w:rsidR="00260ACD" w:rsidRPr="006F60D6" w:rsidRDefault="00260ACD" w:rsidP="00260ACD">
            <w:pPr>
              <w:spacing w:before="120" w:after="120" w:line="240" w:lineRule="auto"/>
              <w:jc w:val="center"/>
              <w:rPr>
                <w:rFonts w:ascii="Times New Roman" w:eastAsia="Times New Roman" w:hAnsi="Times New Roman" w:cs="Times New Roman"/>
                <w:sz w:val="24"/>
                <w:szCs w:val="24"/>
              </w:rPr>
            </w:pPr>
          </w:p>
        </w:tc>
      </w:tr>
    </w:tbl>
    <w:p w14:paraId="4EF8A4CB" w14:textId="77777777" w:rsidR="003B2F0A" w:rsidRDefault="003B2F0A" w:rsidP="004E08AB">
      <w:pPr>
        <w:jc w:val="center"/>
      </w:pPr>
    </w:p>
    <w:p w14:paraId="33D6E01B" w14:textId="77777777" w:rsidR="00260ACD" w:rsidRDefault="00260ACD" w:rsidP="00260ACD">
      <w:pPr>
        <w:spacing w:after="0" w:line="360" w:lineRule="auto"/>
        <w:jc w:val="both"/>
        <w:rPr>
          <w:rFonts w:asciiTheme="majorBidi" w:hAnsiTheme="majorBidi" w:cstheme="majorBidi"/>
        </w:rPr>
      </w:pPr>
    </w:p>
    <w:p w14:paraId="556035E9" w14:textId="77777777" w:rsidR="003B2F0A" w:rsidRDefault="003B2F0A" w:rsidP="004E08AB">
      <w:pPr>
        <w:jc w:val="center"/>
      </w:pPr>
    </w:p>
    <w:p w14:paraId="67011E22" w14:textId="77777777" w:rsidR="00260ACD" w:rsidRDefault="00260ACD" w:rsidP="004E08AB">
      <w:pPr>
        <w:jc w:val="center"/>
      </w:pPr>
    </w:p>
    <w:p w14:paraId="30EDED2C" w14:textId="77777777" w:rsidR="00260ACD" w:rsidRDefault="00260ACD" w:rsidP="00260ACD"/>
    <w:p w14:paraId="33937555" w14:textId="77777777" w:rsidR="00260ACD" w:rsidRDefault="00260ACD" w:rsidP="0009791A"/>
    <w:p w14:paraId="3B091505" w14:textId="77777777" w:rsidR="003C61AA" w:rsidRPr="0024399C" w:rsidRDefault="003C61AA" w:rsidP="0009791A">
      <w:pPr>
        <w:jc w:val="center"/>
        <w:rPr>
          <w:rFonts w:asciiTheme="minorBidi" w:hAnsiTheme="minorBidi"/>
          <w:b/>
          <w:bCs/>
        </w:rPr>
      </w:pPr>
      <w:r w:rsidRPr="0024399C">
        <w:rPr>
          <w:rFonts w:asciiTheme="minorBidi" w:hAnsiTheme="minorBidi"/>
          <w:b/>
          <w:bCs/>
        </w:rPr>
        <w:t>Participant Demographics and Clinical Characteristics</w:t>
      </w:r>
    </w:p>
    <w:p w14:paraId="6678442B" w14:textId="77777777" w:rsidR="003C61AA" w:rsidRPr="003C61AA" w:rsidRDefault="003C61AA" w:rsidP="0009791A">
      <w:pPr>
        <w:ind w:firstLine="720"/>
        <w:jc w:val="both"/>
      </w:pPr>
      <w:r w:rsidRPr="00EA4218">
        <w:rPr>
          <w:rFonts w:asciiTheme="minorBidi" w:hAnsiTheme="minorBidi"/>
        </w:rPr>
        <w:t xml:space="preserve">Table </w:t>
      </w:r>
      <w:r w:rsidR="003B2F0A">
        <w:rPr>
          <w:rFonts w:asciiTheme="minorBidi" w:hAnsiTheme="minorBidi"/>
        </w:rPr>
        <w:t>2</w:t>
      </w:r>
      <w:r w:rsidRPr="00EA4218">
        <w:rPr>
          <w:rFonts w:asciiTheme="minorBidi" w:hAnsiTheme="minorBidi"/>
        </w:rPr>
        <w:t xml:space="preserve"> presents the mean age, BMI, time since amputation, and duration of exercise. Age significantly impacted balance and functional ability (p = 0.001 and p = 0.043, respectively), whereas BMI, exercise duration, and time since amputation showed no significant association with BBS or Houghton Scale scores</w:t>
      </w:r>
      <w:r w:rsidRPr="003C61AA">
        <w:t>.</w:t>
      </w:r>
    </w:p>
    <w:p w14:paraId="2EDC2048" w14:textId="77777777" w:rsidR="003C61AA" w:rsidRPr="0024399C" w:rsidRDefault="003C61AA" w:rsidP="003C61AA">
      <w:pPr>
        <w:jc w:val="both"/>
        <w:rPr>
          <w:rFonts w:asciiTheme="minorBidi" w:hAnsiTheme="minorBidi"/>
        </w:rPr>
      </w:pPr>
      <w:r w:rsidRPr="0024399C">
        <w:rPr>
          <w:rFonts w:asciiTheme="minorBidi" w:hAnsiTheme="minorBidi"/>
          <w:b/>
          <w:bCs/>
        </w:rPr>
        <w:t xml:space="preserve">Table </w:t>
      </w:r>
      <w:r w:rsidR="003B2F0A">
        <w:rPr>
          <w:rFonts w:asciiTheme="minorBidi" w:hAnsiTheme="minorBidi"/>
          <w:b/>
          <w:bCs/>
        </w:rPr>
        <w:t>2</w:t>
      </w:r>
      <w:r w:rsidRPr="0024399C">
        <w:rPr>
          <w:rFonts w:asciiTheme="minorBidi" w:hAnsiTheme="minorBidi"/>
          <w:b/>
          <w:bCs/>
        </w:rPr>
        <w:t>. Association of Clinical Characteristics with BBS and Houghton Scale Scores</w:t>
      </w:r>
    </w:p>
    <w:tbl>
      <w:tblPr>
        <w:tblStyle w:val="PlainTable2"/>
        <w:tblW w:w="0" w:type="auto"/>
        <w:tblLook w:val="04A0" w:firstRow="1" w:lastRow="0" w:firstColumn="1" w:lastColumn="0" w:noHBand="0" w:noVBand="1"/>
      </w:tblPr>
      <w:tblGrid>
        <w:gridCol w:w="3016"/>
        <w:gridCol w:w="1327"/>
        <w:gridCol w:w="1659"/>
        <w:gridCol w:w="2233"/>
      </w:tblGrid>
      <w:tr w:rsidR="003C61AA" w:rsidRPr="003C61AA" w14:paraId="45CC9645" w14:textId="77777777" w:rsidTr="003C6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CF2AE5"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Clinical Characteristics</w:t>
            </w:r>
          </w:p>
        </w:tc>
        <w:tc>
          <w:tcPr>
            <w:tcW w:w="0" w:type="auto"/>
            <w:hideMark/>
          </w:tcPr>
          <w:p w14:paraId="1FAD6AA3"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Mean ± SD</w:t>
            </w:r>
          </w:p>
        </w:tc>
        <w:tc>
          <w:tcPr>
            <w:tcW w:w="0" w:type="auto"/>
            <w:hideMark/>
          </w:tcPr>
          <w:p w14:paraId="5AE0A1B7"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p-value (BBS)</w:t>
            </w:r>
          </w:p>
        </w:tc>
        <w:tc>
          <w:tcPr>
            <w:tcW w:w="0" w:type="auto"/>
            <w:hideMark/>
          </w:tcPr>
          <w:p w14:paraId="76A8D3A7"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p-value (Houghton)</w:t>
            </w:r>
          </w:p>
        </w:tc>
      </w:tr>
      <w:tr w:rsidR="003C61AA" w:rsidRPr="003C61AA" w14:paraId="02465CEE" w14:textId="77777777" w:rsidTr="003C6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AD9E6C"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Age (20–78 yr)</w:t>
            </w:r>
          </w:p>
        </w:tc>
        <w:tc>
          <w:tcPr>
            <w:tcW w:w="0" w:type="auto"/>
            <w:hideMark/>
          </w:tcPr>
          <w:p w14:paraId="23A36868"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45.5 ± 14.7</w:t>
            </w:r>
          </w:p>
        </w:tc>
        <w:tc>
          <w:tcPr>
            <w:tcW w:w="0" w:type="auto"/>
            <w:hideMark/>
          </w:tcPr>
          <w:p w14:paraId="4EE92915"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0.001</w:t>
            </w:r>
          </w:p>
        </w:tc>
        <w:tc>
          <w:tcPr>
            <w:tcW w:w="0" w:type="auto"/>
            <w:hideMark/>
          </w:tcPr>
          <w:p w14:paraId="61D9F985"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0.043</w:t>
            </w:r>
          </w:p>
        </w:tc>
      </w:tr>
      <w:tr w:rsidR="003C61AA" w:rsidRPr="003C61AA" w14:paraId="6E4BBFF3" w14:textId="77777777" w:rsidTr="003C61AA">
        <w:tc>
          <w:tcPr>
            <w:cnfStyle w:val="001000000000" w:firstRow="0" w:lastRow="0" w:firstColumn="1" w:lastColumn="0" w:oddVBand="0" w:evenVBand="0" w:oddHBand="0" w:evenHBand="0" w:firstRowFirstColumn="0" w:firstRowLastColumn="0" w:lastRowFirstColumn="0" w:lastRowLastColumn="0"/>
            <w:tcW w:w="0" w:type="auto"/>
            <w:hideMark/>
          </w:tcPr>
          <w:p w14:paraId="6067C25E"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BMI</w:t>
            </w:r>
          </w:p>
        </w:tc>
        <w:tc>
          <w:tcPr>
            <w:tcW w:w="0" w:type="auto"/>
            <w:hideMark/>
          </w:tcPr>
          <w:p w14:paraId="07987AED"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25.2 ± 3.3</w:t>
            </w:r>
          </w:p>
        </w:tc>
        <w:tc>
          <w:tcPr>
            <w:tcW w:w="0" w:type="auto"/>
            <w:hideMark/>
          </w:tcPr>
          <w:p w14:paraId="7FB09A5B"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0.073</w:t>
            </w:r>
          </w:p>
        </w:tc>
        <w:tc>
          <w:tcPr>
            <w:tcW w:w="0" w:type="auto"/>
            <w:hideMark/>
          </w:tcPr>
          <w:p w14:paraId="351E811B"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0.567</w:t>
            </w:r>
          </w:p>
        </w:tc>
      </w:tr>
      <w:tr w:rsidR="003C61AA" w:rsidRPr="003C61AA" w14:paraId="55C2B27F" w14:textId="77777777" w:rsidTr="003C6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0FB0A1"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Time since amputation (yr)</w:t>
            </w:r>
          </w:p>
        </w:tc>
        <w:tc>
          <w:tcPr>
            <w:tcW w:w="0" w:type="auto"/>
            <w:hideMark/>
          </w:tcPr>
          <w:p w14:paraId="53F80B4B"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4.6 ± 4.6</w:t>
            </w:r>
          </w:p>
        </w:tc>
        <w:tc>
          <w:tcPr>
            <w:tcW w:w="0" w:type="auto"/>
            <w:hideMark/>
          </w:tcPr>
          <w:p w14:paraId="6DD6315B"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0.623</w:t>
            </w:r>
          </w:p>
        </w:tc>
        <w:tc>
          <w:tcPr>
            <w:tcW w:w="0" w:type="auto"/>
            <w:hideMark/>
          </w:tcPr>
          <w:p w14:paraId="4D306C97"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0.445</w:t>
            </w:r>
          </w:p>
        </w:tc>
      </w:tr>
      <w:tr w:rsidR="003C61AA" w:rsidRPr="003C61AA" w14:paraId="49672D08" w14:textId="77777777" w:rsidTr="003C61AA">
        <w:tc>
          <w:tcPr>
            <w:cnfStyle w:val="001000000000" w:firstRow="0" w:lastRow="0" w:firstColumn="1" w:lastColumn="0" w:oddVBand="0" w:evenVBand="0" w:oddHBand="0" w:evenHBand="0" w:firstRowFirstColumn="0" w:firstRowLastColumn="0" w:lastRowFirstColumn="0" w:lastRowLastColumn="0"/>
            <w:tcW w:w="0" w:type="auto"/>
            <w:hideMark/>
          </w:tcPr>
          <w:p w14:paraId="2946A394"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Duration of exercise (min)</w:t>
            </w:r>
          </w:p>
        </w:tc>
        <w:tc>
          <w:tcPr>
            <w:tcW w:w="0" w:type="auto"/>
            <w:hideMark/>
          </w:tcPr>
          <w:p w14:paraId="15FE3EC2"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37.7 ± 22.4</w:t>
            </w:r>
          </w:p>
        </w:tc>
        <w:tc>
          <w:tcPr>
            <w:tcW w:w="0" w:type="auto"/>
            <w:hideMark/>
          </w:tcPr>
          <w:p w14:paraId="55BA51B9"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0.138</w:t>
            </w:r>
          </w:p>
        </w:tc>
        <w:tc>
          <w:tcPr>
            <w:tcW w:w="0" w:type="auto"/>
            <w:hideMark/>
          </w:tcPr>
          <w:p w14:paraId="67DDF75A"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0.208</w:t>
            </w:r>
          </w:p>
        </w:tc>
      </w:tr>
      <w:tr w:rsidR="003C61AA" w:rsidRPr="003C61AA" w14:paraId="015FB781" w14:textId="77777777" w:rsidTr="003C6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3776FB"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Effect of Exercise (Yes/No)</w:t>
            </w:r>
          </w:p>
        </w:tc>
        <w:tc>
          <w:tcPr>
            <w:tcW w:w="0" w:type="auto"/>
            <w:hideMark/>
          </w:tcPr>
          <w:p w14:paraId="68DC4450"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w:t>
            </w:r>
          </w:p>
        </w:tc>
        <w:tc>
          <w:tcPr>
            <w:tcW w:w="0" w:type="auto"/>
            <w:hideMark/>
          </w:tcPr>
          <w:p w14:paraId="653595B0"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0.785</w:t>
            </w:r>
          </w:p>
        </w:tc>
        <w:tc>
          <w:tcPr>
            <w:tcW w:w="0" w:type="auto"/>
            <w:hideMark/>
          </w:tcPr>
          <w:p w14:paraId="53BC7EF7"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0.278</w:t>
            </w:r>
          </w:p>
        </w:tc>
      </w:tr>
    </w:tbl>
    <w:p w14:paraId="500F874F" w14:textId="77777777" w:rsidR="003C61AA" w:rsidRPr="003C61AA" w:rsidRDefault="003C61AA" w:rsidP="003C61AA">
      <w:pPr>
        <w:jc w:val="both"/>
      </w:pPr>
    </w:p>
    <w:p w14:paraId="7EC6CB6C" w14:textId="77777777" w:rsidR="003C61AA" w:rsidRPr="0024399C" w:rsidRDefault="003C61AA" w:rsidP="003C61AA">
      <w:pPr>
        <w:jc w:val="both"/>
        <w:rPr>
          <w:rFonts w:asciiTheme="minorBidi" w:hAnsiTheme="minorBidi"/>
          <w:b/>
          <w:bCs/>
        </w:rPr>
      </w:pPr>
      <w:r w:rsidRPr="0024399C">
        <w:rPr>
          <w:rFonts w:asciiTheme="minorBidi" w:hAnsiTheme="minorBidi"/>
          <w:b/>
          <w:bCs/>
        </w:rPr>
        <w:t>Functional Outcomes by Community Independence</w:t>
      </w:r>
    </w:p>
    <w:p w14:paraId="2B76DEDA" w14:textId="77777777" w:rsidR="003C61AA" w:rsidRPr="00EA4218" w:rsidRDefault="003C61AA" w:rsidP="0009791A">
      <w:pPr>
        <w:ind w:firstLine="720"/>
        <w:jc w:val="both"/>
        <w:rPr>
          <w:rFonts w:asciiTheme="minorBidi" w:hAnsiTheme="minorBidi"/>
        </w:rPr>
      </w:pPr>
      <w:r w:rsidRPr="00EA4218">
        <w:rPr>
          <w:rFonts w:asciiTheme="minorBidi" w:hAnsiTheme="minorBidi"/>
        </w:rPr>
        <w:t xml:space="preserve">Table </w:t>
      </w:r>
      <w:r w:rsidR="00260ACD">
        <w:rPr>
          <w:rFonts w:asciiTheme="minorBidi" w:hAnsiTheme="minorBidi"/>
        </w:rPr>
        <w:t>3</w:t>
      </w:r>
      <w:r w:rsidRPr="00EA4218">
        <w:rPr>
          <w:rFonts w:asciiTheme="minorBidi" w:hAnsiTheme="minorBidi"/>
        </w:rPr>
        <w:t xml:space="preserve"> shows the differences in BBS and Houghton Scale scores across different levels of community independence. Higher ability groups performed better, demonstrating the effectiveness of the scales in distinguishing functional independence.</w:t>
      </w:r>
    </w:p>
    <w:p w14:paraId="0A502B56" w14:textId="77777777" w:rsidR="003C61AA" w:rsidRPr="0024399C" w:rsidRDefault="003C61AA" w:rsidP="003C61AA">
      <w:pPr>
        <w:jc w:val="both"/>
        <w:rPr>
          <w:rFonts w:asciiTheme="minorBidi" w:hAnsiTheme="minorBidi"/>
        </w:rPr>
      </w:pPr>
      <w:r w:rsidRPr="0024399C">
        <w:rPr>
          <w:rFonts w:asciiTheme="minorBidi" w:hAnsiTheme="minorBidi"/>
          <w:b/>
          <w:bCs/>
        </w:rPr>
        <w:t xml:space="preserve">Table </w:t>
      </w:r>
      <w:r w:rsidR="00260ACD">
        <w:rPr>
          <w:rFonts w:asciiTheme="minorBidi" w:hAnsiTheme="minorBidi"/>
          <w:b/>
          <w:bCs/>
        </w:rPr>
        <w:t>3</w:t>
      </w:r>
      <w:r w:rsidRPr="0024399C">
        <w:rPr>
          <w:rFonts w:asciiTheme="minorBidi" w:hAnsiTheme="minorBidi"/>
          <w:b/>
          <w:bCs/>
        </w:rPr>
        <w:t>. Significance of Differences in Outcome Measures Across Ability Categories</w:t>
      </w:r>
    </w:p>
    <w:tbl>
      <w:tblPr>
        <w:tblStyle w:val="PlainTable2"/>
        <w:tblW w:w="0" w:type="auto"/>
        <w:tblLook w:val="04A0" w:firstRow="1" w:lastRow="0" w:firstColumn="1" w:lastColumn="0" w:noHBand="0" w:noVBand="1"/>
      </w:tblPr>
      <w:tblGrid>
        <w:gridCol w:w="1772"/>
        <w:gridCol w:w="2017"/>
        <w:gridCol w:w="1753"/>
        <w:gridCol w:w="1680"/>
        <w:gridCol w:w="1197"/>
        <w:gridCol w:w="941"/>
      </w:tblGrid>
      <w:tr w:rsidR="003C61AA" w:rsidRPr="003C61AA" w14:paraId="118A2FEA" w14:textId="77777777" w:rsidTr="004E08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9B496D"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Outcome Measures</w:t>
            </w:r>
          </w:p>
        </w:tc>
        <w:tc>
          <w:tcPr>
            <w:tcW w:w="0" w:type="auto"/>
            <w:hideMark/>
          </w:tcPr>
          <w:p w14:paraId="205CA381"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Independent Community</w:t>
            </w:r>
          </w:p>
        </w:tc>
        <w:tc>
          <w:tcPr>
            <w:tcW w:w="0" w:type="auto"/>
            <w:hideMark/>
          </w:tcPr>
          <w:p w14:paraId="1CF95B97"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Limited Community</w:t>
            </w:r>
          </w:p>
        </w:tc>
        <w:tc>
          <w:tcPr>
            <w:tcW w:w="0" w:type="auto"/>
            <w:hideMark/>
          </w:tcPr>
          <w:p w14:paraId="253B6D86"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Household Limited</w:t>
            </w:r>
          </w:p>
        </w:tc>
        <w:tc>
          <w:tcPr>
            <w:tcW w:w="0" w:type="auto"/>
            <w:hideMark/>
          </w:tcPr>
          <w:p w14:paraId="73E573F6"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F / t-Value</w:t>
            </w:r>
          </w:p>
        </w:tc>
        <w:tc>
          <w:tcPr>
            <w:tcW w:w="0" w:type="auto"/>
            <w:hideMark/>
          </w:tcPr>
          <w:p w14:paraId="449E8CBE"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p-Value</w:t>
            </w:r>
          </w:p>
        </w:tc>
      </w:tr>
      <w:tr w:rsidR="003C61AA" w:rsidRPr="003C61AA" w14:paraId="6704D51A" w14:textId="77777777" w:rsidTr="004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5CE425"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Houghton Scale (0–12)</w:t>
            </w:r>
          </w:p>
        </w:tc>
        <w:tc>
          <w:tcPr>
            <w:tcW w:w="0" w:type="auto"/>
            <w:hideMark/>
          </w:tcPr>
          <w:p w14:paraId="6FA94BDC"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13 (9–12)</w:t>
            </w:r>
          </w:p>
        </w:tc>
        <w:tc>
          <w:tcPr>
            <w:tcW w:w="0" w:type="auto"/>
            <w:hideMark/>
          </w:tcPr>
          <w:p w14:paraId="4CD030D4"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15 (6–8)</w:t>
            </w:r>
          </w:p>
        </w:tc>
        <w:tc>
          <w:tcPr>
            <w:tcW w:w="0" w:type="auto"/>
            <w:hideMark/>
          </w:tcPr>
          <w:p w14:paraId="69EE233C"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2 (0–5)</w:t>
            </w:r>
          </w:p>
        </w:tc>
        <w:tc>
          <w:tcPr>
            <w:tcW w:w="0" w:type="auto"/>
            <w:hideMark/>
          </w:tcPr>
          <w:p w14:paraId="6FCA960D"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F=42.800</w:t>
            </w:r>
          </w:p>
        </w:tc>
        <w:tc>
          <w:tcPr>
            <w:tcW w:w="0" w:type="auto"/>
            <w:hideMark/>
          </w:tcPr>
          <w:p w14:paraId="49EB6815"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&lt;0.001</w:t>
            </w:r>
          </w:p>
        </w:tc>
      </w:tr>
      <w:tr w:rsidR="003C61AA" w:rsidRPr="003C61AA" w14:paraId="064DEC26" w14:textId="77777777" w:rsidTr="004E08AB">
        <w:tc>
          <w:tcPr>
            <w:cnfStyle w:val="001000000000" w:firstRow="0" w:lastRow="0" w:firstColumn="1" w:lastColumn="0" w:oddVBand="0" w:evenVBand="0" w:oddHBand="0" w:evenHBand="0" w:firstRowFirstColumn="0" w:firstRowLastColumn="0" w:lastRowFirstColumn="0" w:lastRowLastColumn="0"/>
            <w:tcW w:w="0" w:type="auto"/>
            <w:hideMark/>
          </w:tcPr>
          <w:p w14:paraId="3F7040BB"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3-Task Berg Balance</w:t>
            </w:r>
          </w:p>
        </w:tc>
        <w:tc>
          <w:tcPr>
            <w:tcW w:w="0" w:type="auto"/>
            <w:hideMark/>
          </w:tcPr>
          <w:p w14:paraId="50700A31"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11.3 ± 1.7</w:t>
            </w:r>
          </w:p>
        </w:tc>
        <w:tc>
          <w:tcPr>
            <w:tcW w:w="0" w:type="auto"/>
            <w:hideMark/>
          </w:tcPr>
          <w:p w14:paraId="7543E5D8"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8.5 ± 3.4</w:t>
            </w:r>
          </w:p>
        </w:tc>
        <w:tc>
          <w:tcPr>
            <w:tcW w:w="0" w:type="auto"/>
            <w:hideMark/>
          </w:tcPr>
          <w:p w14:paraId="48D58CD3"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5.4 ± 4.3</w:t>
            </w:r>
          </w:p>
        </w:tc>
        <w:tc>
          <w:tcPr>
            <w:tcW w:w="0" w:type="auto"/>
            <w:hideMark/>
          </w:tcPr>
          <w:p w14:paraId="43885025"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F=33.090</w:t>
            </w:r>
          </w:p>
        </w:tc>
        <w:tc>
          <w:tcPr>
            <w:tcW w:w="0" w:type="auto"/>
            <w:hideMark/>
          </w:tcPr>
          <w:p w14:paraId="5F777EF2"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&lt;0.001</w:t>
            </w:r>
          </w:p>
        </w:tc>
      </w:tr>
    </w:tbl>
    <w:p w14:paraId="7669264C" w14:textId="77777777" w:rsidR="003C61AA" w:rsidRPr="003C61AA" w:rsidRDefault="003C61AA" w:rsidP="003C61AA">
      <w:pPr>
        <w:jc w:val="both"/>
      </w:pPr>
    </w:p>
    <w:p w14:paraId="3AEF302A" w14:textId="77777777" w:rsidR="003C61AA" w:rsidRPr="0024399C" w:rsidRDefault="003C61AA" w:rsidP="003C61AA">
      <w:pPr>
        <w:jc w:val="both"/>
        <w:rPr>
          <w:rFonts w:asciiTheme="minorBidi" w:hAnsiTheme="minorBidi"/>
          <w:b/>
          <w:bCs/>
        </w:rPr>
      </w:pPr>
      <w:r w:rsidRPr="0024399C">
        <w:rPr>
          <w:rFonts w:asciiTheme="minorBidi" w:hAnsiTheme="minorBidi"/>
          <w:b/>
          <w:bCs/>
        </w:rPr>
        <w:lastRenderedPageBreak/>
        <w:t>Gender-Wise Distribution</w:t>
      </w:r>
    </w:p>
    <w:p w14:paraId="05178D29" w14:textId="77777777" w:rsidR="003C61AA" w:rsidRPr="00EA4218" w:rsidRDefault="003C61AA" w:rsidP="0009791A">
      <w:pPr>
        <w:ind w:firstLine="720"/>
        <w:jc w:val="both"/>
        <w:rPr>
          <w:rFonts w:asciiTheme="minorBidi" w:hAnsiTheme="minorBidi"/>
        </w:rPr>
      </w:pPr>
      <w:r w:rsidRPr="00EA4218">
        <w:rPr>
          <w:rFonts w:asciiTheme="minorBidi" w:hAnsiTheme="minorBidi"/>
        </w:rPr>
        <w:t xml:space="preserve">Table </w:t>
      </w:r>
      <w:r w:rsidR="00260ACD">
        <w:rPr>
          <w:rFonts w:asciiTheme="minorBidi" w:hAnsiTheme="minorBidi"/>
        </w:rPr>
        <w:t>4</w:t>
      </w:r>
      <w:r w:rsidRPr="00EA4218">
        <w:rPr>
          <w:rFonts w:asciiTheme="minorBidi" w:hAnsiTheme="minorBidi"/>
        </w:rPr>
        <w:t xml:space="preserve"> displays participant characteristics by gender, including age, time since amputation, BMI, and duration of exercise. The total row has been removed for clarity.</w:t>
      </w:r>
    </w:p>
    <w:p w14:paraId="738EFF76" w14:textId="77777777" w:rsidR="003C61AA" w:rsidRPr="0024399C" w:rsidRDefault="003C61AA" w:rsidP="003C61AA">
      <w:pPr>
        <w:jc w:val="both"/>
        <w:rPr>
          <w:rFonts w:asciiTheme="minorBidi" w:hAnsiTheme="minorBidi"/>
        </w:rPr>
      </w:pPr>
      <w:r w:rsidRPr="0024399C">
        <w:rPr>
          <w:rFonts w:asciiTheme="minorBidi" w:hAnsiTheme="minorBidi"/>
          <w:b/>
          <w:bCs/>
        </w:rPr>
        <w:t xml:space="preserve">Table </w:t>
      </w:r>
      <w:r w:rsidR="00260ACD">
        <w:rPr>
          <w:rFonts w:asciiTheme="minorBidi" w:hAnsiTheme="minorBidi"/>
          <w:b/>
          <w:bCs/>
        </w:rPr>
        <w:t>4</w:t>
      </w:r>
      <w:r w:rsidRPr="0024399C">
        <w:rPr>
          <w:rFonts w:asciiTheme="minorBidi" w:hAnsiTheme="minorBidi"/>
          <w:b/>
          <w:bCs/>
        </w:rPr>
        <w:t>. Gender-Wise Distribution of Participants (ANOVA)</w:t>
      </w:r>
    </w:p>
    <w:tbl>
      <w:tblPr>
        <w:tblStyle w:val="PlainTable2"/>
        <w:tblW w:w="10260" w:type="dxa"/>
        <w:tblLayout w:type="fixed"/>
        <w:tblLook w:val="04A0" w:firstRow="1" w:lastRow="0" w:firstColumn="1" w:lastColumn="0" w:noHBand="0" w:noVBand="1"/>
      </w:tblPr>
      <w:tblGrid>
        <w:gridCol w:w="838"/>
        <w:gridCol w:w="704"/>
        <w:gridCol w:w="552"/>
        <w:gridCol w:w="586"/>
        <w:gridCol w:w="1229"/>
        <w:gridCol w:w="552"/>
        <w:gridCol w:w="586"/>
        <w:gridCol w:w="856"/>
        <w:gridCol w:w="678"/>
        <w:gridCol w:w="678"/>
        <w:gridCol w:w="963"/>
        <w:gridCol w:w="552"/>
        <w:gridCol w:w="946"/>
        <w:gridCol w:w="540"/>
      </w:tblGrid>
      <w:tr w:rsidR="003C61AA" w:rsidRPr="003C61AA" w14:paraId="7BA03C6C" w14:textId="77777777" w:rsidTr="0024399C">
        <w:trPr>
          <w:gridAfter w:val="1"/>
          <w:cnfStyle w:val="100000000000" w:firstRow="1" w:lastRow="0" w:firstColumn="0" w:lastColumn="0" w:oddVBand="0" w:evenVBand="0" w:oddHBand="0" w:evenHBand="0" w:firstRowFirstColumn="0" w:firstRowLastColumn="0" w:lastRowFirstColumn="0" w:lastRowLastColumn="0"/>
          <w:wAfter w:w="540" w:type="dxa"/>
        </w:trPr>
        <w:tc>
          <w:tcPr>
            <w:cnfStyle w:val="001000000000" w:firstRow="0" w:lastRow="0" w:firstColumn="1" w:lastColumn="0" w:oddVBand="0" w:evenVBand="0" w:oddHBand="0" w:evenHBand="0" w:firstRowFirstColumn="0" w:firstRowLastColumn="0" w:lastRowFirstColumn="0" w:lastRowLastColumn="0"/>
            <w:tcW w:w="838" w:type="dxa"/>
            <w:hideMark/>
          </w:tcPr>
          <w:p w14:paraId="4FEB3A18"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Gender (N)</w:t>
            </w:r>
          </w:p>
        </w:tc>
        <w:tc>
          <w:tcPr>
            <w:tcW w:w="704" w:type="dxa"/>
            <w:hideMark/>
          </w:tcPr>
          <w:p w14:paraId="0E2077AC"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Age (yr) Mean</w:t>
            </w:r>
          </w:p>
        </w:tc>
        <w:tc>
          <w:tcPr>
            <w:tcW w:w="552" w:type="dxa"/>
            <w:hideMark/>
          </w:tcPr>
          <w:p w14:paraId="0E9BC9DE"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Min</w:t>
            </w:r>
          </w:p>
        </w:tc>
        <w:tc>
          <w:tcPr>
            <w:tcW w:w="586" w:type="dxa"/>
            <w:hideMark/>
          </w:tcPr>
          <w:p w14:paraId="099C0EF6"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Max</w:t>
            </w:r>
          </w:p>
        </w:tc>
        <w:tc>
          <w:tcPr>
            <w:tcW w:w="1229" w:type="dxa"/>
            <w:hideMark/>
          </w:tcPr>
          <w:p w14:paraId="42F6A784"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Time Since Amputation (yr) Mean</w:t>
            </w:r>
          </w:p>
        </w:tc>
        <w:tc>
          <w:tcPr>
            <w:tcW w:w="552" w:type="dxa"/>
            <w:hideMark/>
          </w:tcPr>
          <w:p w14:paraId="0B855CFB"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Min</w:t>
            </w:r>
          </w:p>
        </w:tc>
        <w:tc>
          <w:tcPr>
            <w:tcW w:w="586" w:type="dxa"/>
            <w:hideMark/>
          </w:tcPr>
          <w:p w14:paraId="164CBD7D"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Max</w:t>
            </w:r>
          </w:p>
        </w:tc>
        <w:tc>
          <w:tcPr>
            <w:tcW w:w="856" w:type="dxa"/>
            <w:hideMark/>
          </w:tcPr>
          <w:p w14:paraId="190E0FA6"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BMI (kg/m²) Mean</w:t>
            </w:r>
          </w:p>
        </w:tc>
        <w:tc>
          <w:tcPr>
            <w:tcW w:w="678" w:type="dxa"/>
            <w:hideMark/>
          </w:tcPr>
          <w:p w14:paraId="4B7AFF5D"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Min</w:t>
            </w:r>
          </w:p>
        </w:tc>
        <w:tc>
          <w:tcPr>
            <w:tcW w:w="678" w:type="dxa"/>
            <w:hideMark/>
          </w:tcPr>
          <w:p w14:paraId="48A36522"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Max</w:t>
            </w:r>
          </w:p>
        </w:tc>
        <w:tc>
          <w:tcPr>
            <w:tcW w:w="963" w:type="dxa"/>
            <w:hideMark/>
          </w:tcPr>
          <w:p w14:paraId="3F6B94BB"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Duration of Exercise (min) Mean</w:t>
            </w:r>
          </w:p>
        </w:tc>
        <w:tc>
          <w:tcPr>
            <w:tcW w:w="552" w:type="dxa"/>
            <w:hideMark/>
          </w:tcPr>
          <w:p w14:paraId="1D35996F"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Min</w:t>
            </w:r>
          </w:p>
        </w:tc>
        <w:tc>
          <w:tcPr>
            <w:tcW w:w="946" w:type="dxa"/>
            <w:hideMark/>
          </w:tcPr>
          <w:p w14:paraId="2C4C0673"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Max</w:t>
            </w:r>
          </w:p>
        </w:tc>
      </w:tr>
      <w:tr w:rsidR="003C61AA" w:rsidRPr="003C61AA" w14:paraId="5D306509" w14:textId="77777777" w:rsidTr="00243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hideMark/>
          </w:tcPr>
          <w:p w14:paraId="4D3AE27C"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Male (24)</w:t>
            </w:r>
          </w:p>
        </w:tc>
        <w:tc>
          <w:tcPr>
            <w:tcW w:w="704" w:type="dxa"/>
            <w:hideMark/>
          </w:tcPr>
          <w:p w14:paraId="670F9493"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48.21</w:t>
            </w:r>
          </w:p>
        </w:tc>
        <w:tc>
          <w:tcPr>
            <w:tcW w:w="552" w:type="dxa"/>
            <w:hideMark/>
          </w:tcPr>
          <w:p w14:paraId="5BC3A9F6"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20</w:t>
            </w:r>
          </w:p>
        </w:tc>
        <w:tc>
          <w:tcPr>
            <w:tcW w:w="586" w:type="dxa"/>
            <w:hideMark/>
          </w:tcPr>
          <w:p w14:paraId="7C5C250B"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72</w:t>
            </w:r>
          </w:p>
        </w:tc>
        <w:tc>
          <w:tcPr>
            <w:tcW w:w="1229" w:type="dxa"/>
            <w:hideMark/>
          </w:tcPr>
          <w:p w14:paraId="76061FAA"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3.83</w:t>
            </w:r>
          </w:p>
        </w:tc>
        <w:tc>
          <w:tcPr>
            <w:tcW w:w="552" w:type="dxa"/>
            <w:hideMark/>
          </w:tcPr>
          <w:p w14:paraId="63F9A295"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w:t>
            </w:r>
          </w:p>
        </w:tc>
        <w:tc>
          <w:tcPr>
            <w:tcW w:w="586" w:type="dxa"/>
            <w:hideMark/>
          </w:tcPr>
          <w:p w14:paraId="7ADF28A2"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19</w:t>
            </w:r>
          </w:p>
        </w:tc>
        <w:tc>
          <w:tcPr>
            <w:tcW w:w="856" w:type="dxa"/>
            <w:hideMark/>
          </w:tcPr>
          <w:p w14:paraId="5E26CE61"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25.03</w:t>
            </w:r>
          </w:p>
        </w:tc>
        <w:tc>
          <w:tcPr>
            <w:tcW w:w="678" w:type="dxa"/>
            <w:hideMark/>
          </w:tcPr>
          <w:p w14:paraId="11C83F13"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19.10</w:t>
            </w:r>
          </w:p>
        </w:tc>
        <w:tc>
          <w:tcPr>
            <w:tcW w:w="678" w:type="dxa"/>
            <w:hideMark/>
          </w:tcPr>
          <w:p w14:paraId="4A287B97"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34.90</w:t>
            </w:r>
          </w:p>
        </w:tc>
        <w:tc>
          <w:tcPr>
            <w:tcW w:w="963" w:type="dxa"/>
            <w:hideMark/>
          </w:tcPr>
          <w:p w14:paraId="0E1A38D5"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37.92</w:t>
            </w:r>
          </w:p>
        </w:tc>
        <w:tc>
          <w:tcPr>
            <w:tcW w:w="552" w:type="dxa"/>
            <w:hideMark/>
          </w:tcPr>
          <w:p w14:paraId="1F030937"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w:t>
            </w:r>
          </w:p>
        </w:tc>
        <w:tc>
          <w:tcPr>
            <w:tcW w:w="1486" w:type="dxa"/>
            <w:gridSpan w:val="2"/>
            <w:hideMark/>
          </w:tcPr>
          <w:p w14:paraId="5285418B"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120</w:t>
            </w:r>
          </w:p>
        </w:tc>
      </w:tr>
      <w:tr w:rsidR="003C61AA" w:rsidRPr="003C61AA" w14:paraId="1D83DD13" w14:textId="77777777" w:rsidTr="0024399C">
        <w:tc>
          <w:tcPr>
            <w:cnfStyle w:val="001000000000" w:firstRow="0" w:lastRow="0" w:firstColumn="1" w:lastColumn="0" w:oddVBand="0" w:evenVBand="0" w:oddHBand="0" w:evenHBand="0" w:firstRowFirstColumn="0" w:firstRowLastColumn="0" w:lastRowFirstColumn="0" w:lastRowLastColumn="0"/>
            <w:tcW w:w="838" w:type="dxa"/>
            <w:hideMark/>
          </w:tcPr>
          <w:p w14:paraId="24A0E78F"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Female (6)</w:t>
            </w:r>
          </w:p>
        </w:tc>
        <w:tc>
          <w:tcPr>
            <w:tcW w:w="704" w:type="dxa"/>
            <w:hideMark/>
          </w:tcPr>
          <w:p w14:paraId="4BE011E5"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34.83</w:t>
            </w:r>
          </w:p>
        </w:tc>
        <w:tc>
          <w:tcPr>
            <w:tcW w:w="552" w:type="dxa"/>
            <w:hideMark/>
          </w:tcPr>
          <w:p w14:paraId="6E1B59D4"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26</w:t>
            </w:r>
          </w:p>
        </w:tc>
        <w:tc>
          <w:tcPr>
            <w:tcW w:w="586" w:type="dxa"/>
            <w:hideMark/>
          </w:tcPr>
          <w:p w14:paraId="2A51F97A"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43</w:t>
            </w:r>
          </w:p>
        </w:tc>
        <w:tc>
          <w:tcPr>
            <w:tcW w:w="1229" w:type="dxa"/>
            <w:hideMark/>
          </w:tcPr>
          <w:p w14:paraId="25DC80AF"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7.83</w:t>
            </w:r>
          </w:p>
        </w:tc>
        <w:tc>
          <w:tcPr>
            <w:tcW w:w="552" w:type="dxa"/>
            <w:hideMark/>
          </w:tcPr>
          <w:p w14:paraId="1741785E"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1</w:t>
            </w:r>
          </w:p>
        </w:tc>
        <w:tc>
          <w:tcPr>
            <w:tcW w:w="586" w:type="dxa"/>
            <w:hideMark/>
          </w:tcPr>
          <w:p w14:paraId="45B369DE"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13</w:t>
            </w:r>
          </w:p>
        </w:tc>
        <w:tc>
          <w:tcPr>
            <w:tcW w:w="856" w:type="dxa"/>
            <w:hideMark/>
          </w:tcPr>
          <w:p w14:paraId="0EF13A93"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25.96</w:t>
            </w:r>
          </w:p>
        </w:tc>
        <w:tc>
          <w:tcPr>
            <w:tcW w:w="678" w:type="dxa"/>
            <w:hideMark/>
          </w:tcPr>
          <w:p w14:paraId="5760D378"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21.04</w:t>
            </w:r>
          </w:p>
        </w:tc>
        <w:tc>
          <w:tcPr>
            <w:tcW w:w="678" w:type="dxa"/>
            <w:hideMark/>
          </w:tcPr>
          <w:p w14:paraId="389D9A08"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30.70</w:t>
            </w:r>
          </w:p>
        </w:tc>
        <w:tc>
          <w:tcPr>
            <w:tcW w:w="963" w:type="dxa"/>
            <w:hideMark/>
          </w:tcPr>
          <w:p w14:paraId="112AECEA"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36.67</w:t>
            </w:r>
          </w:p>
        </w:tc>
        <w:tc>
          <w:tcPr>
            <w:tcW w:w="552" w:type="dxa"/>
            <w:hideMark/>
          </w:tcPr>
          <w:p w14:paraId="36CF95D7"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30</w:t>
            </w:r>
          </w:p>
        </w:tc>
        <w:tc>
          <w:tcPr>
            <w:tcW w:w="1486" w:type="dxa"/>
            <w:gridSpan w:val="2"/>
            <w:hideMark/>
          </w:tcPr>
          <w:p w14:paraId="54B421DC"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60</w:t>
            </w:r>
          </w:p>
        </w:tc>
      </w:tr>
      <w:tr w:rsidR="003C61AA" w:rsidRPr="003C61AA" w14:paraId="7A711048" w14:textId="77777777" w:rsidTr="00243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dxa"/>
            <w:hideMark/>
          </w:tcPr>
          <w:p w14:paraId="66C4E7CF"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p-Value</w:t>
            </w:r>
          </w:p>
        </w:tc>
        <w:tc>
          <w:tcPr>
            <w:tcW w:w="704" w:type="dxa"/>
            <w:hideMark/>
          </w:tcPr>
          <w:p w14:paraId="2AFDDC19"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0.044</w:t>
            </w:r>
          </w:p>
        </w:tc>
        <w:tc>
          <w:tcPr>
            <w:tcW w:w="552" w:type="dxa"/>
            <w:hideMark/>
          </w:tcPr>
          <w:p w14:paraId="67F17423"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w:t>
            </w:r>
          </w:p>
        </w:tc>
        <w:tc>
          <w:tcPr>
            <w:tcW w:w="586" w:type="dxa"/>
            <w:hideMark/>
          </w:tcPr>
          <w:p w14:paraId="35014060"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w:t>
            </w:r>
          </w:p>
        </w:tc>
        <w:tc>
          <w:tcPr>
            <w:tcW w:w="1229" w:type="dxa"/>
            <w:hideMark/>
          </w:tcPr>
          <w:p w14:paraId="0C0F7EAA"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0.058</w:t>
            </w:r>
          </w:p>
        </w:tc>
        <w:tc>
          <w:tcPr>
            <w:tcW w:w="552" w:type="dxa"/>
            <w:hideMark/>
          </w:tcPr>
          <w:p w14:paraId="497B06CA"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w:t>
            </w:r>
          </w:p>
        </w:tc>
        <w:tc>
          <w:tcPr>
            <w:tcW w:w="586" w:type="dxa"/>
            <w:hideMark/>
          </w:tcPr>
          <w:p w14:paraId="0FC054B8"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w:t>
            </w:r>
          </w:p>
        </w:tc>
        <w:tc>
          <w:tcPr>
            <w:tcW w:w="856" w:type="dxa"/>
            <w:hideMark/>
          </w:tcPr>
          <w:p w14:paraId="607EC872"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0.550</w:t>
            </w:r>
          </w:p>
        </w:tc>
        <w:tc>
          <w:tcPr>
            <w:tcW w:w="678" w:type="dxa"/>
            <w:hideMark/>
          </w:tcPr>
          <w:p w14:paraId="7ADCA0B1"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w:t>
            </w:r>
          </w:p>
        </w:tc>
        <w:tc>
          <w:tcPr>
            <w:tcW w:w="678" w:type="dxa"/>
            <w:hideMark/>
          </w:tcPr>
          <w:p w14:paraId="7D0D99FD"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w:t>
            </w:r>
          </w:p>
        </w:tc>
        <w:tc>
          <w:tcPr>
            <w:tcW w:w="963" w:type="dxa"/>
            <w:hideMark/>
          </w:tcPr>
          <w:p w14:paraId="0DD96A23"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0.905</w:t>
            </w:r>
          </w:p>
        </w:tc>
        <w:tc>
          <w:tcPr>
            <w:tcW w:w="552" w:type="dxa"/>
            <w:hideMark/>
          </w:tcPr>
          <w:p w14:paraId="68C9717E"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w:t>
            </w:r>
          </w:p>
        </w:tc>
        <w:tc>
          <w:tcPr>
            <w:tcW w:w="1486" w:type="dxa"/>
            <w:gridSpan w:val="2"/>
            <w:hideMark/>
          </w:tcPr>
          <w:p w14:paraId="1313D222"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w:t>
            </w:r>
          </w:p>
        </w:tc>
      </w:tr>
    </w:tbl>
    <w:p w14:paraId="5E8A8142" w14:textId="77777777" w:rsidR="003C61AA" w:rsidRPr="0024399C" w:rsidRDefault="003C61AA" w:rsidP="003C61AA">
      <w:pPr>
        <w:jc w:val="both"/>
        <w:rPr>
          <w:rFonts w:asciiTheme="minorBidi" w:hAnsiTheme="minorBidi"/>
        </w:rPr>
      </w:pPr>
    </w:p>
    <w:p w14:paraId="028D986C" w14:textId="77777777" w:rsidR="003C61AA" w:rsidRPr="0024399C" w:rsidRDefault="003C61AA" w:rsidP="003C61AA">
      <w:pPr>
        <w:jc w:val="both"/>
        <w:rPr>
          <w:rFonts w:asciiTheme="minorBidi" w:hAnsiTheme="minorBidi"/>
          <w:b/>
          <w:bCs/>
        </w:rPr>
      </w:pPr>
      <w:r w:rsidRPr="0024399C">
        <w:rPr>
          <w:rFonts w:asciiTheme="minorBidi" w:hAnsiTheme="minorBidi"/>
          <w:b/>
          <w:bCs/>
        </w:rPr>
        <w:t>Etiology, Comorbidities, and Exercise</w:t>
      </w:r>
    </w:p>
    <w:p w14:paraId="0D1D19BD" w14:textId="77777777" w:rsidR="003C61AA" w:rsidRPr="00EA4218" w:rsidRDefault="003C61AA" w:rsidP="0009791A">
      <w:pPr>
        <w:ind w:firstLine="720"/>
        <w:jc w:val="both"/>
        <w:rPr>
          <w:rFonts w:asciiTheme="minorBidi" w:hAnsiTheme="minorBidi"/>
        </w:rPr>
      </w:pPr>
      <w:r w:rsidRPr="00EA4218">
        <w:rPr>
          <w:rFonts w:asciiTheme="minorBidi" w:hAnsiTheme="minorBidi"/>
        </w:rPr>
        <w:t xml:space="preserve">Diabetes mellitus (63.3%) and road traffic accidents (33.3%) were the leading causes of amputation. Although 96.7% of participants engaged in exercise, only 43.3% achieved independent mobility, highlighting the need for targeted rehabilitation (Table </w:t>
      </w:r>
      <w:r w:rsidR="00260ACD">
        <w:rPr>
          <w:rFonts w:asciiTheme="minorBidi" w:hAnsiTheme="minorBidi"/>
        </w:rPr>
        <w:t>5</w:t>
      </w:r>
      <w:r w:rsidRPr="00EA4218">
        <w:rPr>
          <w:rFonts w:asciiTheme="minorBidi" w:hAnsiTheme="minorBidi"/>
        </w:rPr>
        <w:t>).</w:t>
      </w:r>
    </w:p>
    <w:p w14:paraId="30712B79" w14:textId="77777777" w:rsidR="003C61AA" w:rsidRPr="0024399C" w:rsidRDefault="003C61AA" w:rsidP="003C61AA">
      <w:pPr>
        <w:jc w:val="both"/>
        <w:rPr>
          <w:rFonts w:asciiTheme="minorBidi" w:hAnsiTheme="minorBidi"/>
        </w:rPr>
      </w:pPr>
      <w:r w:rsidRPr="0024399C">
        <w:rPr>
          <w:rFonts w:asciiTheme="minorBidi" w:hAnsiTheme="minorBidi"/>
          <w:b/>
          <w:bCs/>
        </w:rPr>
        <w:t xml:space="preserve">Table </w:t>
      </w:r>
      <w:r w:rsidR="00260ACD">
        <w:rPr>
          <w:rFonts w:asciiTheme="minorBidi" w:hAnsiTheme="minorBidi"/>
          <w:b/>
          <w:bCs/>
        </w:rPr>
        <w:t>5</w:t>
      </w:r>
      <w:r w:rsidRPr="0024399C">
        <w:rPr>
          <w:rFonts w:asciiTheme="minorBidi" w:hAnsiTheme="minorBidi"/>
          <w:b/>
          <w:bCs/>
        </w:rPr>
        <w:t>. Participant Characteristics and Frequency Distribution</w:t>
      </w:r>
    </w:p>
    <w:tbl>
      <w:tblPr>
        <w:tblStyle w:val="PlainTable2"/>
        <w:tblW w:w="0" w:type="auto"/>
        <w:tblLook w:val="04A0" w:firstRow="1" w:lastRow="0" w:firstColumn="1" w:lastColumn="0" w:noHBand="0" w:noVBand="1"/>
      </w:tblPr>
      <w:tblGrid>
        <w:gridCol w:w="3370"/>
        <w:gridCol w:w="3433"/>
        <w:gridCol w:w="1732"/>
      </w:tblGrid>
      <w:tr w:rsidR="003C61AA" w:rsidRPr="003C61AA" w14:paraId="43516EAD" w14:textId="77777777" w:rsidTr="004E08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9D9A31"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Variable</w:t>
            </w:r>
          </w:p>
        </w:tc>
        <w:tc>
          <w:tcPr>
            <w:tcW w:w="0" w:type="auto"/>
            <w:hideMark/>
          </w:tcPr>
          <w:p w14:paraId="3930FAD8"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Category</w:t>
            </w:r>
          </w:p>
        </w:tc>
        <w:tc>
          <w:tcPr>
            <w:tcW w:w="0" w:type="auto"/>
            <w:hideMark/>
          </w:tcPr>
          <w:p w14:paraId="2713F2AC"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Frequency (%)</w:t>
            </w:r>
          </w:p>
        </w:tc>
      </w:tr>
      <w:tr w:rsidR="003C61AA" w:rsidRPr="003C61AA" w14:paraId="1297324E" w14:textId="77777777" w:rsidTr="004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0FB38C"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Gender</w:t>
            </w:r>
          </w:p>
        </w:tc>
        <w:tc>
          <w:tcPr>
            <w:tcW w:w="0" w:type="auto"/>
            <w:hideMark/>
          </w:tcPr>
          <w:p w14:paraId="4367CD63"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Female</w:t>
            </w:r>
          </w:p>
        </w:tc>
        <w:tc>
          <w:tcPr>
            <w:tcW w:w="0" w:type="auto"/>
            <w:hideMark/>
          </w:tcPr>
          <w:p w14:paraId="003F2C68"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6 (20.0)</w:t>
            </w:r>
          </w:p>
        </w:tc>
      </w:tr>
      <w:tr w:rsidR="003C61AA" w:rsidRPr="003C61AA" w14:paraId="303B17BA" w14:textId="77777777" w:rsidTr="004E08AB">
        <w:tc>
          <w:tcPr>
            <w:cnfStyle w:val="001000000000" w:firstRow="0" w:lastRow="0" w:firstColumn="1" w:lastColumn="0" w:oddVBand="0" w:evenVBand="0" w:oddHBand="0" w:evenHBand="0" w:firstRowFirstColumn="0" w:firstRowLastColumn="0" w:lastRowFirstColumn="0" w:lastRowLastColumn="0"/>
            <w:tcW w:w="0" w:type="auto"/>
            <w:hideMark/>
          </w:tcPr>
          <w:p w14:paraId="4D71875E" w14:textId="77777777" w:rsidR="003C61AA" w:rsidRPr="0024399C" w:rsidRDefault="003C61AA" w:rsidP="003C61AA">
            <w:pPr>
              <w:spacing w:after="160" w:line="259" w:lineRule="auto"/>
              <w:jc w:val="both"/>
              <w:rPr>
                <w:rFonts w:asciiTheme="minorBidi" w:hAnsiTheme="minorBidi"/>
              </w:rPr>
            </w:pPr>
          </w:p>
        </w:tc>
        <w:tc>
          <w:tcPr>
            <w:tcW w:w="0" w:type="auto"/>
            <w:hideMark/>
          </w:tcPr>
          <w:p w14:paraId="17630FBA"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Male</w:t>
            </w:r>
          </w:p>
        </w:tc>
        <w:tc>
          <w:tcPr>
            <w:tcW w:w="0" w:type="auto"/>
            <w:hideMark/>
          </w:tcPr>
          <w:p w14:paraId="4E5F11CF"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24 (80.0)</w:t>
            </w:r>
          </w:p>
        </w:tc>
      </w:tr>
      <w:tr w:rsidR="003C61AA" w:rsidRPr="003C61AA" w14:paraId="42A4666D" w14:textId="77777777" w:rsidTr="004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0A1921"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Comorbidities</w:t>
            </w:r>
          </w:p>
        </w:tc>
        <w:tc>
          <w:tcPr>
            <w:tcW w:w="0" w:type="auto"/>
            <w:hideMark/>
          </w:tcPr>
          <w:p w14:paraId="2C72E9AC"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Diabetes Mellitus – Absent</w:t>
            </w:r>
          </w:p>
        </w:tc>
        <w:tc>
          <w:tcPr>
            <w:tcW w:w="0" w:type="auto"/>
            <w:hideMark/>
          </w:tcPr>
          <w:p w14:paraId="4F7B276D"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11 (36.7)</w:t>
            </w:r>
          </w:p>
        </w:tc>
      </w:tr>
      <w:tr w:rsidR="003C61AA" w:rsidRPr="003C61AA" w14:paraId="536BCF2C" w14:textId="77777777" w:rsidTr="004E08AB">
        <w:tc>
          <w:tcPr>
            <w:cnfStyle w:val="001000000000" w:firstRow="0" w:lastRow="0" w:firstColumn="1" w:lastColumn="0" w:oddVBand="0" w:evenVBand="0" w:oddHBand="0" w:evenHBand="0" w:firstRowFirstColumn="0" w:firstRowLastColumn="0" w:lastRowFirstColumn="0" w:lastRowLastColumn="0"/>
            <w:tcW w:w="0" w:type="auto"/>
            <w:hideMark/>
          </w:tcPr>
          <w:p w14:paraId="37FA37AB" w14:textId="77777777" w:rsidR="003C61AA" w:rsidRPr="0024399C" w:rsidRDefault="003C61AA" w:rsidP="003C61AA">
            <w:pPr>
              <w:spacing w:after="160" w:line="259" w:lineRule="auto"/>
              <w:jc w:val="both"/>
              <w:rPr>
                <w:rFonts w:asciiTheme="minorBidi" w:hAnsiTheme="minorBidi"/>
              </w:rPr>
            </w:pPr>
          </w:p>
        </w:tc>
        <w:tc>
          <w:tcPr>
            <w:tcW w:w="0" w:type="auto"/>
            <w:hideMark/>
          </w:tcPr>
          <w:p w14:paraId="15366D52"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Diabetes Mellitus – Present</w:t>
            </w:r>
          </w:p>
        </w:tc>
        <w:tc>
          <w:tcPr>
            <w:tcW w:w="0" w:type="auto"/>
            <w:hideMark/>
          </w:tcPr>
          <w:p w14:paraId="640CA03A"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19 (63.3)</w:t>
            </w:r>
          </w:p>
        </w:tc>
      </w:tr>
      <w:tr w:rsidR="003C61AA" w:rsidRPr="003C61AA" w14:paraId="3EB5C484" w14:textId="77777777" w:rsidTr="004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F7BFB8" w14:textId="77777777" w:rsidR="003C61AA" w:rsidRPr="0024399C" w:rsidRDefault="003C61AA" w:rsidP="003C61AA">
            <w:pPr>
              <w:spacing w:after="160" w:line="259" w:lineRule="auto"/>
              <w:jc w:val="both"/>
              <w:rPr>
                <w:rFonts w:asciiTheme="minorBidi" w:hAnsiTheme="minorBidi"/>
              </w:rPr>
            </w:pPr>
          </w:p>
        </w:tc>
        <w:tc>
          <w:tcPr>
            <w:tcW w:w="0" w:type="auto"/>
            <w:hideMark/>
          </w:tcPr>
          <w:p w14:paraId="6082F5E5"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Hypertension – Absent</w:t>
            </w:r>
          </w:p>
        </w:tc>
        <w:tc>
          <w:tcPr>
            <w:tcW w:w="0" w:type="auto"/>
            <w:hideMark/>
          </w:tcPr>
          <w:p w14:paraId="1B203C4B"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22 (73.3)</w:t>
            </w:r>
          </w:p>
        </w:tc>
      </w:tr>
      <w:tr w:rsidR="003C61AA" w:rsidRPr="003C61AA" w14:paraId="6E994F1B" w14:textId="77777777" w:rsidTr="004E08AB">
        <w:tc>
          <w:tcPr>
            <w:cnfStyle w:val="001000000000" w:firstRow="0" w:lastRow="0" w:firstColumn="1" w:lastColumn="0" w:oddVBand="0" w:evenVBand="0" w:oddHBand="0" w:evenHBand="0" w:firstRowFirstColumn="0" w:firstRowLastColumn="0" w:lastRowFirstColumn="0" w:lastRowLastColumn="0"/>
            <w:tcW w:w="0" w:type="auto"/>
            <w:hideMark/>
          </w:tcPr>
          <w:p w14:paraId="5E40C96D" w14:textId="77777777" w:rsidR="003C61AA" w:rsidRPr="0024399C" w:rsidRDefault="003C61AA" w:rsidP="003C61AA">
            <w:pPr>
              <w:spacing w:after="160" w:line="259" w:lineRule="auto"/>
              <w:jc w:val="both"/>
              <w:rPr>
                <w:rFonts w:asciiTheme="minorBidi" w:hAnsiTheme="minorBidi"/>
              </w:rPr>
            </w:pPr>
          </w:p>
        </w:tc>
        <w:tc>
          <w:tcPr>
            <w:tcW w:w="0" w:type="auto"/>
            <w:hideMark/>
          </w:tcPr>
          <w:p w14:paraId="767C53C1"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Hypertension – Present</w:t>
            </w:r>
          </w:p>
        </w:tc>
        <w:tc>
          <w:tcPr>
            <w:tcW w:w="0" w:type="auto"/>
            <w:hideMark/>
          </w:tcPr>
          <w:p w14:paraId="1AA6084E"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8 (26.7)</w:t>
            </w:r>
          </w:p>
        </w:tc>
      </w:tr>
      <w:tr w:rsidR="003C61AA" w:rsidRPr="003C61AA" w14:paraId="7B2DBBAD" w14:textId="77777777" w:rsidTr="004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7CB68C" w14:textId="77777777" w:rsidR="003C61AA" w:rsidRPr="0024399C" w:rsidRDefault="003C61AA" w:rsidP="003C61AA">
            <w:pPr>
              <w:spacing w:after="160" w:line="259" w:lineRule="auto"/>
              <w:jc w:val="both"/>
              <w:rPr>
                <w:rFonts w:asciiTheme="minorBidi" w:hAnsiTheme="minorBidi"/>
              </w:rPr>
            </w:pPr>
          </w:p>
        </w:tc>
        <w:tc>
          <w:tcPr>
            <w:tcW w:w="0" w:type="auto"/>
            <w:hideMark/>
          </w:tcPr>
          <w:p w14:paraId="6D73D686"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Malignancy/Transplant – Absent</w:t>
            </w:r>
          </w:p>
        </w:tc>
        <w:tc>
          <w:tcPr>
            <w:tcW w:w="0" w:type="auto"/>
            <w:hideMark/>
          </w:tcPr>
          <w:p w14:paraId="0FF9BF54"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14 (46.7)</w:t>
            </w:r>
          </w:p>
        </w:tc>
      </w:tr>
      <w:tr w:rsidR="003C61AA" w:rsidRPr="003C61AA" w14:paraId="6FAA742B" w14:textId="77777777" w:rsidTr="004E08AB">
        <w:tc>
          <w:tcPr>
            <w:cnfStyle w:val="001000000000" w:firstRow="0" w:lastRow="0" w:firstColumn="1" w:lastColumn="0" w:oddVBand="0" w:evenVBand="0" w:oddHBand="0" w:evenHBand="0" w:firstRowFirstColumn="0" w:firstRowLastColumn="0" w:lastRowFirstColumn="0" w:lastRowLastColumn="0"/>
            <w:tcW w:w="0" w:type="auto"/>
            <w:hideMark/>
          </w:tcPr>
          <w:p w14:paraId="2485C499" w14:textId="77777777" w:rsidR="003C61AA" w:rsidRPr="0024399C" w:rsidRDefault="003C61AA" w:rsidP="003C61AA">
            <w:pPr>
              <w:spacing w:after="160" w:line="259" w:lineRule="auto"/>
              <w:jc w:val="both"/>
              <w:rPr>
                <w:rFonts w:asciiTheme="minorBidi" w:hAnsiTheme="minorBidi"/>
              </w:rPr>
            </w:pPr>
          </w:p>
        </w:tc>
        <w:tc>
          <w:tcPr>
            <w:tcW w:w="0" w:type="auto"/>
            <w:hideMark/>
          </w:tcPr>
          <w:p w14:paraId="3AD3F906"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Malignancy/Transplant – Present</w:t>
            </w:r>
          </w:p>
        </w:tc>
        <w:tc>
          <w:tcPr>
            <w:tcW w:w="0" w:type="auto"/>
            <w:hideMark/>
          </w:tcPr>
          <w:p w14:paraId="7105340B"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16 (53.3)</w:t>
            </w:r>
          </w:p>
        </w:tc>
      </w:tr>
      <w:tr w:rsidR="003C61AA" w:rsidRPr="003C61AA" w14:paraId="64E7EAD0" w14:textId="77777777" w:rsidTr="004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377E4B"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Others</w:t>
            </w:r>
          </w:p>
        </w:tc>
        <w:tc>
          <w:tcPr>
            <w:tcW w:w="0" w:type="auto"/>
            <w:hideMark/>
          </w:tcPr>
          <w:p w14:paraId="60F4FA01"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Absent</w:t>
            </w:r>
          </w:p>
        </w:tc>
        <w:tc>
          <w:tcPr>
            <w:tcW w:w="0" w:type="auto"/>
            <w:hideMark/>
          </w:tcPr>
          <w:p w14:paraId="3127F4D2"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25 (83.3)</w:t>
            </w:r>
          </w:p>
        </w:tc>
      </w:tr>
      <w:tr w:rsidR="003C61AA" w:rsidRPr="003C61AA" w14:paraId="597C7DEB" w14:textId="77777777" w:rsidTr="004E08AB">
        <w:tc>
          <w:tcPr>
            <w:cnfStyle w:val="001000000000" w:firstRow="0" w:lastRow="0" w:firstColumn="1" w:lastColumn="0" w:oddVBand="0" w:evenVBand="0" w:oddHBand="0" w:evenHBand="0" w:firstRowFirstColumn="0" w:firstRowLastColumn="0" w:lastRowFirstColumn="0" w:lastRowLastColumn="0"/>
            <w:tcW w:w="0" w:type="auto"/>
            <w:hideMark/>
          </w:tcPr>
          <w:p w14:paraId="30281531" w14:textId="77777777" w:rsidR="003C61AA" w:rsidRPr="0024399C" w:rsidRDefault="003C61AA" w:rsidP="003C61AA">
            <w:pPr>
              <w:spacing w:after="160" w:line="259" w:lineRule="auto"/>
              <w:jc w:val="both"/>
              <w:rPr>
                <w:rFonts w:asciiTheme="minorBidi" w:hAnsiTheme="minorBidi"/>
              </w:rPr>
            </w:pPr>
          </w:p>
        </w:tc>
        <w:tc>
          <w:tcPr>
            <w:tcW w:w="0" w:type="auto"/>
            <w:hideMark/>
          </w:tcPr>
          <w:p w14:paraId="0CC1B44C"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Present</w:t>
            </w:r>
          </w:p>
        </w:tc>
        <w:tc>
          <w:tcPr>
            <w:tcW w:w="0" w:type="auto"/>
            <w:hideMark/>
          </w:tcPr>
          <w:p w14:paraId="7E2E83A0"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5 (16.7)</w:t>
            </w:r>
          </w:p>
        </w:tc>
      </w:tr>
      <w:tr w:rsidR="003C61AA" w:rsidRPr="003C61AA" w14:paraId="4D45DBB5" w14:textId="77777777" w:rsidTr="004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F796B0"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lastRenderedPageBreak/>
              <w:t>Etiology</w:t>
            </w:r>
          </w:p>
        </w:tc>
        <w:tc>
          <w:tcPr>
            <w:tcW w:w="0" w:type="auto"/>
            <w:hideMark/>
          </w:tcPr>
          <w:p w14:paraId="105C8A26"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Diabetes Mellitus</w:t>
            </w:r>
          </w:p>
        </w:tc>
        <w:tc>
          <w:tcPr>
            <w:tcW w:w="0" w:type="auto"/>
            <w:hideMark/>
          </w:tcPr>
          <w:p w14:paraId="492C8DB9"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7 (23.3)</w:t>
            </w:r>
          </w:p>
        </w:tc>
      </w:tr>
      <w:tr w:rsidR="003C61AA" w:rsidRPr="003C61AA" w14:paraId="5C388C9D" w14:textId="77777777" w:rsidTr="004E08AB">
        <w:tc>
          <w:tcPr>
            <w:cnfStyle w:val="001000000000" w:firstRow="0" w:lastRow="0" w:firstColumn="1" w:lastColumn="0" w:oddVBand="0" w:evenVBand="0" w:oddHBand="0" w:evenHBand="0" w:firstRowFirstColumn="0" w:firstRowLastColumn="0" w:lastRowFirstColumn="0" w:lastRowLastColumn="0"/>
            <w:tcW w:w="0" w:type="auto"/>
            <w:hideMark/>
          </w:tcPr>
          <w:p w14:paraId="0C0A7F01" w14:textId="77777777" w:rsidR="003C61AA" w:rsidRPr="0024399C" w:rsidRDefault="003C61AA" w:rsidP="003C61AA">
            <w:pPr>
              <w:spacing w:after="160" w:line="259" w:lineRule="auto"/>
              <w:jc w:val="both"/>
              <w:rPr>
                <w:rFonts w:asciiTheme="minorBidi" w:hAnsiTheme="minorBidi"/>
              </w:rPr>
            </w:pPr>
          </w:p>
        </w:tc>
        <w:tc>
          <w:tcPr>
            <w:tcW w:w="0" w:type="auto"/>
            <w:hideMark/>
          </w:tcPr>
          <w:p w14:paraId="09B71173"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Gangrene</w:t>
            </w:r>
          </w:p>
        </w:tc>
        <w:tc>
          <w:tcPr>
            <w:tcW w:w="0" w:type="auto"/>
            <w:hideMark/>
          </w:tcPr>
          <w:p w14:paraId="4F251236"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7 (23.3)</w:t>
            </w:r>
          </w:p>
        </w:tc>
      </w:tr>
      <w:tr w:rsidR="003C61AA" w:rsidRPr="003C61AA" w14:paraId="331DDF55" w14:textId="77777777" w:rsidTr="004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774B90" w14:textId="77777777" w:rsidR="003C61AA" w:rsidRPr="0024399C" w:rsidRDefault="003C61AA" w:rsidP="003C61AA">
            <w:pPr>
              <w:spacing w:after="160" w:line="259" w:lineRule="auto"/>
              <w:jc w:val="both"/>
              <w:rPr>
                <w:rFonts w:asciiTheme="minorBidi" w:hAnsiTheme="minorBidi"/>
              </w:rPr>
            </w:pPr>
          </w:p>
        </w:tc>
        <w:tc>
          <w:tcPr>
            <w:tcW w:w="0" w:type="auto"/>
            <w:hideMark/>
          </w:tcPr>
          <w:p w14:paraId="7B9A95B2"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Malignancy</w:t>
            </w:r>
          </w:p>
        </w:tc>
        <w:tc>
          <w:tcPr>
            <w:tcW w:w="0" w:type="auto"/>
            <w:hideMark/>
          </w:tcPr>
          <w:p w14:paraId="746DCB51"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4 (13.3)</w:t>
            </w:r>
          </w:p>
        </w:tc>
      </w:tr>
      <w:tr w:rsidR="003C61AA" w:rsidRPr="003C61AA" w14:paraId="7E30671A" w14:textId="77777777" w:rsidTr="004E08AB">
        <w:tc>
          <w:tcPr>
            <w:cnfStyle w:val="001000000000" w:firstRow="0" w:lastRow="0" w:firstColumn="1" w:lastColumn="0" w:oddVBand="0" w:evenVBand="0" w:oddHBand="0" w:evenHBand="0" w:firstRowFirstColumn="0" w:firstRowLastColumn="0" w:lastRowFirstColumn="0" w:lastRowLastColumn="0"/>
            <w:tcW w:w="0" w:type="auto"/>
            <w:hideMark/>
          </w:tcPr>
          <w:p w14:paraId="1C0D91EE" w14:textId="77777777" w:rsidR="003C61AA" w:rsidRPr="0024399C" w:rsidRDefault="003C61AA" w:rsidP="003C61AA">
            <w:pPr>
              <w:spacing w:after="160" w:line="259" w:lineRule="auto"/>
              <w:jc w:val="both"/>
              <w:rPr>
                <w:rFonts w:asciiTheme="minorBidi" w:hAnsiTheme="minorBidi"/>
              </w:rPr>
            </w:pPr>
          </w:p>
        </w:tc>
        <w:tc>
          <w:tcPr>
            <w:tcW w:w="0" w:type="auto"/>
            <w:hideMark/>
          </w:tcPr>
          <w:p w14:paraId="4FA406F7"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RTA</w:t>
            </w:r>
          </w:p>
        </w:tc>
        <w:tc>
          <w:tcPr>
            <w:tcW w:w="0" w:type="auto"/>
            <w:hideMark/>
          </w:tcPr>
          <w:p w14:paraId="62AC11B6"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10 (33.3)</w:t>
            </w:r>
          </w:p>
        </w:tc>
      </w:tr>
      <w:tr w:rsidR="003C61AA" w:rsidRPr="003C61AA" w14:paraId="1D65BB64" w14:textId="77777777" w:rsidTr="004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F0578B" w14:textId="77777777" w:rsidR="003C61AA" w:rsidRPr="0024399C" w:rsidRDefault="003C61AA" w:rsidP="003C61AA">
            <w:pPr>
              <w:spacing w:after="160" w:line="259" w:lineRule="auto"/>
              <w:jc w:val="both"/>
              <w:rPr>
                <w:rFonts w:asciiTheme="minorBidi" w:hAnsiTheme="minorBidi"/>
              </w:rPr>
            </w:pPr>
          </w:p>
        </w:tc>
        <w:tc>
          <w:tcPr>
            <w:tcW w:w="0" w:type="auto"/>
            <w:hideMark/>
          </w:tcPr>
          <w:p w14:paraId="1C5B3628"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Transplant</w:t>
            </w:r>
          </w:p>
        </w:tc>
        <w:tc>
          <w:tcPr>
            <w:tcW w:w="0" w:type="auto"/>
            <w:hideMark/>
          </w:tcPr>
          <w:p w14:paraId="72395B05"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2 (6.7)</w:t>
            </w:r>
          </w:p>
        </w:tc>
      </w:tr>
      <w:tr w:rsidR="003C61AA" w:rsidRPr="003C61AA" w14:paraId="2C8D3A4F" w14:textId="77777777" w:rsidTr="004E08AB">
        <w:tc>
          <w:tcPr>
            <w:cnfStyle w:val="001000000000" w:firstRow="0" w:lastRow="0" w:firstColumn="1" w:lastColumn="0" w:oddVBand="0" w:evenVBand="0" w:oddHBand="0" w:evenHBand="0" w:firstRowFirstColumn="0" w:firstRowLastColumn="0" w:lastRowFirstColumn="0" w:lastRowLastColumn="0"/>
            <w:tcW w:w="0" w:type="auto"/>
            <w:hideMark/>
          </w:tcPr>
          <w:p w14:paraId="62D2A672"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Exercise</w:t>
            </w:r>
          </w:p>
        </w:tc>
        <w:tc>
          <w:tcPr>
            <w:tcW w:w="0" w:type="auto"/>
            <w:hideMark/>
          </w:tcPr>
          <w:p w14:paraId="46484951"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No</w:t>
            </w:r>
          </w:p>
        </w:tc>
        <w:tc>
          <w:tcPr>
            <w:tcW w:w="0" w:type="auto"/>
            <w:hideMark/>
          </w:tcPr>
          <w:p w14:paraId="5E318376"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1 (3.3)</w:t>
            </w:r>
          </w:p>
        </w:tc>
      </w:tr>
      <w:tr w:rsidR="003C61AA" w:rsidRPr="003C61AA" w14:paraId="4177AC76" w14:textId="77777777" w:rsidTr="004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02A684" w14:textId="77777777" w:rsidR="003C61AA" w:rsidRPr="0024399C" w:rsidRDefault="003C61AA" w:rsidP="003C61AA">
            <w:pPr>
              <w:spacing w:after="160" w:line="259" w:lineRule="auto"/>
              <w:jc w:val="both"/>
              <w:rPr>
                <w:rFonts w:asciiTheme="minorBidi" w:hAnsiTheme="minorBidi"/>
              </w:rPr>
            </w:pPr>
          </w:p>
        </w:tc>
        <w:tc>
          <w:tcPr>
            <w:tcW w:w="0" w:type="auto"/>
            <w:hideMark/>
          </w:tcPr>
          <w:p w14:paraId="1DBAEA2D"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Yes</w:t>
            </w:r>
          </w:p>
        </w:tc>
        <w:tc>
          <w:tcPr>
            <w:tcW w:w="0" w:type="auto"/>
            <w:hideMark/>
          </w:tcPr>
          <w:p w14:paraId="26B67A1F"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29 (96.7)</w:t>
            </w:r>
          </w:p>
        </w:tc>
      </w:tr>
      <w:tr w:rsidR="003C61AA" w:rsidRPr="003C61AA" w14:paraId="3F4C177C" w14:textId="77777777" w:rsidTr="004E08AB">
        <w:tc>
          <w:tcPr>
            <w:cnfStyle w:val="001000000000" w:firstRow="0" w:lastRow="0" w:firstColumn="1" w:lastColumn="0" w:oddVBand="0" w:evenVBand="0" w:oddHBand="0" w:evenHBand="0" w:firstRowFirstColumn="0" w:firstRowLastColumn="0" w:lastRowFirstColumn="0" w:lastRowLastColumn="0"/>
            <w:tcW w:w="0" w:type="auto"/>
            <w:hideMark/>
          </w:tcPr>
          <w:p w14:paraId="2720035C"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Houghton’s Ability Categories</w:t>
            </w:r>
          </w:p>
        </w:tc>
        <w:tc>
          <w:tcPr>
            <w:tcW w:w="0" w:type="auto"/>
            <w:hideMark/>
          </w:tcPr>
          <w:p w14:paraId="122DA7C2"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Limited Household</w:t>
            </w:r>
          </w:p>
        </w:tc>
        <w:tc>
          <w:tcPr>
            <w:tcW w:w="0" w:type="auto"/>
            <w:hideMark/>
          </w:tcPr>
          <w:p w14:paraId="7C896DF4"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2 (6.7)</w:t>
            </w:r>
          </w:p>
        </w:tc>
      </w:tr>
      <w:tr w:rsidR="003C61AA" w:rsidRPr="003C61AA" w14:paraId="0802E30C" w14:textId="77777777" w:rsidTr="004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2DD4F9" w14:textId="77777777" w:rsidR="003C61AA" w:rsidRPr="0024399C" w:rsidRDefault="003C61AA" w:rsidP="003C61AA">
            <w:pPr>
              <w:spacing w:after="160" w:line="259" w:lineRule="auto"/>
              <w:jc w:val="both"/>
              <w:rPr>
                <w:rFonts w:asciiTheme="minorBidi" w:hAnsiTheme="minorBidi"/>
              </w:rPr>
            </w:pPr>
          </w:p>
        </w:tc>
        <w:tc>
          <w:tcPr>
            <w:tcW w:w="0" w:type="auto"/>
            <w:hideMark/>
          </w:tcPr>
          <w:p w14:paraId="2A504800"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Limited Community</w:t>
            </w:r>
          </w:p>
        </w:tc>
        <w:tc>
          <w:tcPr>
            <w:tcW w:w="0" w:type="auto"/>
            <w:hideMark/>
          </w:tcPr>
          <w:p w14:paraId="64E6DEEC"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15 (50.0)</w:t>
            </w:r>
          </w:p>
        </w:tc>
      </w:tr>
      <w:tr w:rsidR="003C61AA" w:rsidRPr="003C61AA" w14:paraId="79948262" w14:textId="77777777" w:rsidTr="004E08AB">
        <w:tc>
          <w:tcPr>
            <w:cnfStyle w:val="001000000000" w:firstRow="0" w:lastRow="0" w:firstColumn="1" w:lastColumn="0" w:oddVBand="0" w:evenVBand="0" w:oddHBand="0" w:evenHBand="0" w:firstRowFirstColumn="0" w:firstRowLastColumn="0" w:lastRowFirstColumn="0" w:lastRowLastColumn="0"/>
            <w:tcW w:w="0" w:type="auto"/>
            <w:hideMark/>
          </w:tcPr>
          <w:p w14:paraId="71CCF8A1" w14:textId="77777777" w:rsidR="003C61AA" w:rsidRPr="003C61AA" w:rsidRDefault="003C61AA" w:rsidP="003C61AA">
            <w:pPr>
              <w:spacing w:after="160" w:line="259" w:lineRule="auto"/>
              <w:jc w:val="both"/>
            </w:pPr>
          </w:p>
        </w:tc>
        <w:tc>
          <w:tcPr>
            <w:tcW w:w="0" w:type="auto"/>
            <w:hideMark/>
          </w:tcPr>
          <w:p w14:paraId="5F6B3E4F"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Independent Community</w:t>
            </w:r>
          </w:p>
        </w:tc>
        <w:tc>
          <w:tcPr>
            <w:tcW w:w="0" w:type="auto"/>
            <w:hideMark/>
          </w:tcPr>
          <w:p w14:paraId="3042466D" w14:textId="77777777" w:rsidR="003C61AA" w:rsidRPr="0024399C" w:rsidRDefault="003C61AA" w:rsidP="003C61AA">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13 (43.3)</w:t>
            </w:r>
          </w:p>
        </w:tc>
      </w:tr>
    </w:tbl>
    <w:p w14:paraId="515AF20C" w14:textId="77777777" w:rsidR="003C61AA" w:rsidRPr="003C61AA" w:rsidRDefault="003C61AA" w:rsidP="003C61AA">
      <w:pPr>
        <w:jc w:val="both"/>
      </w:pPr>
    </w:p>
    <w:p w14:paraId="2904875C" w14:textId="77777777" w:rsidR="003C61AA" w:rsidRPr="0024399C" w:rsidRDefault="003C61AA" w:rsidP="003C61AA">
      <w:pPr>
        <w:jc w:val="both"/>
        <w:rPr>
          <w:rFonts w:asciiTheme="minorBidi" w:hAnsiTheme="minorBidi"/>
          <w:b/>
          <w:bCs/>
        </w:rPr>
      </w:pPr>
      <w:r w:rsidRPr="0024399C">
        <w:rPr>
          <w:rFonts w:asciiTheme="minorBidi" w:hAnsiTheme="minorBidi"/>
          <w:b/>
          <w:bCs/>
        </w:rPr>
        <w:t>Correlation Between BBS and Houghton Scale</w:t>
      </w:r>
    </w:p>
    <w:p w14:paraId="2DC99576" w14:textId="77777777" w:rsidR="003C61AA" w:rsidRPr="00EA4218" w:rsidRDefault="003C61AA" w:rsidP="0009791A">
      <w:pPr>
        <w:ind w:firstLine="720"/>
        <w:jc w:val="both"/>
        <w:rPr>
          <w:rFonts w:asciiTheme="minorBidi" w:hAnsiTheme="minorBidi"/>
        </w:rPr>
      </w:pPr>
      <w:r w:rsidRPr="00EA4218">
        <w:rPr>
          <w:rFonts w:asciiTheme="minorBidi" w:hAnsiTheme="minorBidi"/>
        </w:rPr>
        <w:t xml:space="preserve">A moderate positive correlation was observed between the 3-Task BBS and Houghton Scale scores (ρ = 0.432, p = 0.017), indicating a meaningful association between balance ability and functional mobility (Table </w:t>
      </w:r>
      <w:r w:rsidR="00260ACD">
        <w:rPr>
          <w:rFonts w:asciiTheme="minorBidi" w:hAnsiTheme="minorBidi"/>
        </w:rPr>
        <w:t>6</w:t>
      </w:r>
      <w:r w:rsidRPr="00EA4218">
        <w:rPr>
          <w:rFonts w:asciiTheme="minorBidi" w:hAnsiTheme="minorBidi"/>
        </w:rPr>
        <w:t>).</w:t>
      </w:r>
    </w:p>
    <w:p w14:paraId="29779CD2" w14:textId="77777777" w:rsidR="003C61AA" w:rsidRPr="0024399C" w:rsidRDefault="003C61AA" w:rsidP="003C61AA">
      <w:pPr>
        <w:jc w:val="both"/>
        <w:rPr>
          <w:rFonts w:asciiTheme="minorBidi" w:hAnsiTheme="minorBidi"/>
        </w:rPr>
      </w:pPr>
      <w:r w:rsidRPr="0024399C">
        <w:rPr>
          <w:rFonts w:asciiTheme="minorBidi" w:hAnsiTheme="minorBidi"/>
          <w:b/>
          <w:bCs/>
        </w:rPr>
        <w:t xml:space="preserve">Table </w:t>
      </w:r>
      <w:r w:rsidR="00260ACD">
        <w:rPr>
          <w:rFonts w:asciiTheme="minorBidi" w:hAnsiTheme="minorBidi"/>
          <w:b/>
          <w:bCs/>
        </w:rPr>
        <w:t>6</w:t>
      </w:r>
      <w:r w:rsidRPr="0024399C">
        <w:rPr>
          <w:rFonts w:asciiTheme="minorBidi" w:hAnsiTheme="minorBidi"/>
          <w:b/>
          <w:bCs/>
        </w:rPr>
        <w:t>. Correlation Between 3-Task BBS and Houghton Scale</w:t>
      </w:r>
    </w:p>
    <w:tbl>
      <w:tblPr>
        <w:tblStyle w:val="PlainTable2"/>
        <w:tblW w:w="0" w:type="auto"/>
        <w:tblLook w:val="04A0" w:firstRow="1" w:lastRow="0" w:firstColumn="1" w:lastColumn="0" w:noHBand="0" w:noVBand="1"/>
      </w:tblPr>
      <w:tblGrid>
        <w:gridCol w:w="3017"/>
        <w:gridCol w:w="2272"/>
        <w:gridCol w:w="987"/>
      </w:tblGrid>
      <w:tr w:rsidR="003C61AA" w:rsidRPr="003C61AA" w14:paraId="355FDADF" w14:textId="77777777" w:rsidTr="004E08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C7ECAB"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Scale</w:t>
            </w:r>
          </w:p>
        </w:tc>
        <w:tc>
          <w:tcPr>
            <w:tcW w:w="0" w:type="auto"/>
            <w:hideMark/>
          </w:tcPr>
          <w:p w14:paraId="4CCF47CB"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Houghton’s Scale ρ</w:t>
            </w:r>
          </w:p>
        </w:tc>
        <w:tc>
          <w:tcPr>
            <w:tcW w:w="0" w:type="auto"/>
            <w:hideMark/>
          </w:tcPr>
          <w:p w14:paraId="47021156" w14:textId="77777777" w:rsidR="003C61AA" w:rsidRPr="0024399C" w:rsidRDefault="003C61AA" w:rsidP="003C61AA">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24399C">
              <w:rPr>
                <w:rFonts w:asciiTheme="minorBidi" w:hAnsiTheme="minorBidi"/>
              </w:rPr>
              <w:t>p-value</w:t>
            </w:r>
          </w:p>
        </w:tc>
      </w:tr>
      <w:tr w:rsidR="003C61AA" w:rsidRPr="003C61AA" w14:paraId="4E6614F0" w14:textId="77777777" w:rsidTr="004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5C738E" w14:textId="77777777" w:rsidR="003C61AA" w:rsidRPr="0024399C" w:rsidRDefault="003C61AA" w:rsidP="003C61AA">
            <w:pPr>
              <w:spacing w:after="160" w:line="259" w:lineRule="auto"/>
              <w:jc w:val="both"/>
              <w:rPr>
                <w:rFonts w:asciiTheme="minorBidi" w:hAnsiTheme="minorBidi"/>
              </w:rPr>
            </w:pPr>
            <w:r w:rsidRPr="0024399C">
              <w:rPr>
                <w:rFonts w:asciiTheme="minorBidi" w:hAnsiTheme="minorBidi"/>
              </w:rPr>
              <w:t>3-Task Berg Balance Scale</w:t>
            </w:r>
          </w:p>
        </w:tc>
        <w:tc>
          <w:tcPr>
            <w:tcW w:w="0" w:type="auto"/>
            <w:hideMark/>
          </w:tcPr>
          <w:p w14:paraId="2AC9E08F"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0.432</w:t>
            </w:r>
          </w:p>
        </w:tc>
        <w:tc>
          <w:tcPr>
            <w:tcW w:w="0" w:type="auto"/>
            <w:hideMark/>
          </w:tcPr>
          <w:p w14:paraId="1DB89CDA" w14:textId="77777777" w:rsidR="003C61AA" w:rsidRPr="0024399C" w:rsidRDefault="003C61AA" w:rsidP="003C61AA">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24399C">
              <w:rPr>
                <w:rFonts w:asciiTheme="minorBidi" w:hAnsiTheme="minorBidi"/>
              </w:rPr>
              <w:t>0.017</w:t>
            </w:r>
          </w:p>
        </w:tc>
      </w:tr>
    </w:tbl>
    <w:p w14:paraId="3D3E0870" w14:textId="77777777" w:rsidR="003C61AA" w:rsidRDefault="003C61AA" w:rsidP="003C61AA">
      <w:pPr>
        <w:jc w:val="both"/>
      </w:pPr>
    </w:p>
    <w:p w14:paraId="0FD694F2" w14:textId="77777777" w:rsidR="00CF6106" w:rsidRPr="0024399C" w:rsidRDefault="00CF6106" w:rsidP="0009791A">
      <w:pPr>
        <w:jc w:val="center"/>
        <w:rPr>
          <w:rFonts w:asciiTheme="minorBidi" w:hAnsiTheme="minorBidi"/>
          <w:b/>
          <w:bCs/>
          <w:sz w:val="24"/>
          <w:szCs w:val="24"/>
        </w:rPr>
      </w:pPr>
      <w:r w:rsidRPr="0024399C">
        <w:rPr>
          <w:rFonts w:asciiTheme="minorBidi" w:hAnsiTheme="minorBidi"/>
          <w:b/>
          <w:bCs/>
          <w:sz w:val="24"/>
          <w:szCs w:val="24"/>
        </w:rPr>
        <w:t>Discussion</w:t>
      </w:r>
    </w:p>
    <w:p w14:paraId="361CBCBD" w14:textId="77777777" w:rsidR="00CF6106" w:rsidRPr="00EA4218" w:rsidRDefault="00CF6106" w:rsidP="0009791A">
      <w:pPr>
        <w:ind w:firstLine="720"/>
        <w:jc w:val="both"/>
        <w:rPr>
          <w:rFonts w:asciiTheme="minorBidi" w:hAnsiTheme="minorBidi"/>
        </w:rPr>
      </w:pPr>
      <w:r w:rsidRPr="00EA4218">
        <w:rPr>
          <w:rFonts w:asciiTheme="minorBidi" w:hAnsiTheme="minorBidi"/>
        </w:rPr>
        <w:t>This study examined the relationship between balance ability and functional mobility in transtibial amputee patients. The results demonstrated a significant association between balance performance, measured using the Berg Balance Scale (BBS), and functional mobility, assessed via the Houghton Scale. Participants with higher balance scores exhibited superior functional independence, supporting the importance of balance in overall mobility and community reintegration.¹</w:t>
      </w:r>
    </w:p>
    <w:p w14:paraId="07817AAD" w14:textId="77777777" w:rsidR="00CF6106" w:rsidRPr="00EA4218" w:rsidRDefault="00CF6106" w:rsidP="0009791A">
      <w:pPr>
        <w:ind w:firstLine="720"/>
        <w:jc w:val="both"/>
        <w:rPr>
          <w:rFonts w:asciiTheme="minorBidi" w:hAnsiTheme="minorBidi"/>
        </w:rPr>
      </w:pPr>
      <w:r w:rsidRPr="00EA4218">
        <w:rPr>
          <w:rFonts w:asciiTheme="minorBidi" w:hAnsiTheme="minorBidi"/>
        </w:rPr>
        <w:t>Age and comorbidities, particularly diabetes mellitus, were significant determinants of functional outcomes. Older participants and those with diabetes exhibited lower BBS and Houghton scores, reflecting reduced postural stability and impaired mobility. These findings are consistent with previous research, which has reported that aging and diabetes-related complications negatively affect proprioception, muscle strength, and coordination, thereby increasing fall risk and limiting functional independence.²–⁴</w:t>
      </w:r>
    </w:p>
    <w:p w14:paraId="0D4BF46D" w14:textId="77777777" w:rsidR="00CF6106" w:rsidRPr="00EA4218" w:rsidRDefault="00CF6106" w:rsidP="00CF6106">
      <w:pPr>
        <w:jc w:val="both"/>
        <w:rPr>
          <w:rFonts w:asciiTheme="minorBidi" w:hAnsiTheme="minorBidi"/>
        </w:rPr>
      </w:pPr>
      <w:r w:rsidRPr="00EA4218">
        <w:rPr>
          <w:rFonts w:asciiTheme="minorBidi" w:hAnsiTheme="minorBidi"/>
        </w:rPr>
        <w:t xml:space="preserve">Gender disparities were observed, with fewer female participants accessing rehabilitation services. Although males predominated in this cohort, females exhibited slightly lower balance </w:t>
      </w:r>
      <w:r w:rsidRPr="00EA4218">
        <w:rPr>
          <w:rFonts w:asciiTheme="minorBidi" w:hAnsiTheme="minorBidi"/>
        </w:rPr>
        <w:lastRenderedPageBreak/>
        <w:t>and mobility scores. This may reflect socio-cultural and economic barriers that restrict female participation in rehabilitation programs, a trend noted in previous studies.⁵,⁶</w:t>
      </w:r>
    </w:p>
    <w:p w14:paraId="35ECA834" w14:textId="77777777" w:rsidR="00CF6106" w:rsidRPr="00EA4218" w:rsidRDefault="00CF6106" w:rsidP="0009791A">
      <w:pPr>
        <w:ind w:firstLine="720"/>
        <w:jc w:val="both"/>
        <w:rPr>
          <w:rFonts w:asciiTheme="minorBidi" w:hAnsiTheme="minorBidi"/>
        </w:rPr>
      </w:pPr>
      <w:r w:rsidRPr="00EA4218">
        <w:rPr>
          <w:rFonts w:asciiTheme="minorBidi" w:hAnsiTheme="minorBidi"/>
        </w:rPr>
        <w:t>The moderate positive correlation between BBS and Houghton Scale scores highlights the interdependence of balance and functional mobility. This aligns with evidence indicating that targeted balance training improves gait performance, prosthetic use, and overall independence in daily and community activities.⁷–⁹</w:t>
      </w:r>
    </w:p>
    <w:p w14:paraId="52FDABFB" w14:textId="77777777" w:rsidR="00CF6106" w:rsidRPr="00EA4218" w:rsidRDefault="00CF6106" w:rsidP="0009791A">
      <w:pPr>
        <w:ind w:firstLine="720"/>
        <w:jc w:val="both"/>
        <w:rPr>
          <w:rFonts w:asciiTheme="minorBidi" w:hAnsiTheme="minorBidi"/>
        </w:rPr>
      </w:pPr>
      <w:r w:rsidRPr="00EA4218">
        <w:rPr>
          <w:rFonts w:asciiTheme="minorBidi" w:hAnsiTheme="minorBidi"/>
        </w:rPr>
        <w:t>Regular exercise and physiotherapy interventions were associated with improved functional outcomes. Most participants (96.7%) engaged in physical activity, yet only 43.3% achieved independent community mobility, underscoring the need for structured, individualized rehabilitation programs that incorporate balance and functional training. Rehabilitation programs integrating muscle strengthening, coordination exercises, and proprioceptive training are essential for optimizing outcomes in this population.¹⁰,¹¹</w:t>
      </w:r>
    </w:p>
    <w:p w14:paraId="68BB94E6" w14:textId="77777777" w:rsidR="00CF6106" w:rsidRPr="00EA4218" w:rsidRDefault="00CF6106" w:rsidP="0009791A">
      <w:pPr>
        <w:ind w:firstLine="720"/>
        <w:jc w:val="both"/>
        <w:rPr>
          <w:rFonts w:asciiTheme="minorBidi" w:hAnsiTheme="minorBidi"/>
        </w:rPr>
      </w:pPr>
      <w:r w:rsidRPr="00EA4218">
        <w:rPr>
          <w:rFonts w:asciiTheme="minorBidi" w:hAnsiTheme="minorBidi"/>
        </w:rPr>
        <w:t>The study findings emphasize the need for early intervention, particularly for older individuals and those with comorbidities. Incorporating technology, such as virtual reality or wearable feedback devices, may further enhance rehabilitation outcomes by providing personalized, real-time feedback during balance and mobility training.¹²,¹³</w:t>
      </w:r>
    </w:p>
    <w:p w14:paraId="7F4C17CA" w14:textId="77777777" w:rsidR="00CF6106" w:rsidRPr="0024399C" w:rsidRDefault="00CF6106" w:rsidP="00CF6106">
      <w:pPr>
        <w:jc w:val="both"/>
        <w:rPr>
          <w:rFonts w:asciiTheme="minorBidi" w:hAnsiTheme="minorBidi"/>
          <w:b/>
          <w:bCs/>
        </w:rPr>
      </w:pPr>
      <w:r w:rsidRPr="0024399C">
        <w:rPr>
          <w:rFonts w:asciiTheme="minorBidi" w:hAnsiTheme="minorBidi"/>
          <w:b/>
          <w:bCs/>
        </w:rPr>
        <w:t>Strengths and Limitations</w:t>
      </w:r>
    </w:p>
    <w:p w14:paraId="2539913A" w14:textId="77777777" w:rsidR="00CF6106" w:rsidRPr="00EA4218" w:rsidRDefault="00CF6106" w:rsidP="0009791A">
      <w:pPr>
        <w:ind w:firstLine="720"/>
        <w:jc w:val="both"/>
        <w:rPr>
          <w:rFonts w:asciiTheme="minorBidi" w:hAnsiTheme="minorBidi"/>
        </w:rPr>
      </w:pPr>
      <w:r w:rsidRPr="00EA4218">
        <w:rPr>
          <w:rFonts w:asciiTheme="minorBidi" w:hAnsiTheme="minorBidi"/>
        </w:rPr>
        <w:t>A key strength of this study is the use of validated outcome measures (BBS and Houghton Scale) to assess balance and functional mobility. The study provides baseline data on transtibial amputees in Pakistan, which can guide rehabilitation strategies. Limitations include a small sample size, convenience sampling, and the cross-sectional design, which limits causal inferences. Future studies with larger samples and longitudinal designs are recommended to confirm these findings and evaluate the long-term impact of targeted rehabilitation interventions.</w:t>
      </w:r>
    </w:p>
    <w:p w14:paraId="2C8526D4" w14:textId="77777777" w:rsidR="00CF6106" w:rsidRPr="00EA4218" w:rsidRDefault="00CF6106" w:rsidP="0009791A">
      <w:pPr>
        <w:jc w:val="center"/>
        <w:rPr>
          <w:rFonts w:asciiTheme="minorBidi" w:hAnsiTheme="minorBidi"/>
          <w:b/>
          <w:bCs/>
          <w:sz w:val="24"/>
          <w:szCs w:val="24"/>
        </w:rPr>
      </w:pPr>
      <w:r w:rsidRPr="00EA4218">
        <w:rPr>
          <w:rFonts w:asciiTheme="minorBidi" w:hAnsiTheme="minorBidi"/>
          <w:b/>
          <w:bCs/>
          <w:sz w:val="24"/>
          <w:szCs w:val="24"/>
        </w:rPr>
        <w:t>Conclusion</w:t>
      </w:r>
    </w:p>
    <w:p w14:paraId="0B2F54CE" w14:textId="77777777" w:rsidR="00CF6106" w:rsidRDefault="00CF6106" w:rsidP="0009791A">
      <w:pPr>
        <w:ind w:firstLine="720"/>
        <w:jc w:val="both"/>
        <w:rPr>
          <w:rFonts w:asciiTheme="minorBidi" w:hAnsiTheme="minorBidi"/>
        </w:rPr>
      </w:pPr>
      <w:r w:rsidRPr="00EA4218">
        <w:rPr>
          <w:rFonts w:asciiTheme="minorBidi" w:hAnsiTheme="minorBidi"/>
        </w:rPr>
        <w:t>Balance ability is strongly associated with functional mobility in transtibial amputees. The Berg Balance and Houghton Scales are reliable tools for assessing rehabilitation outcomes. Impaired balance negatively affects walking performance and community mobility, particularly among older patients and those with diabetes. Targeted balance training and structured rehabilitation programs can improve functional independence, reduce fall risk, and enhance quality of life. Diabetes mellitus and trauma were major causes of amputation, highlighting the need for early, individualized rehabilitation strategies.</w:t>
      </w:r>
    </w:p>
    <w:p w14:paraId="58F986CD" w14:textId="77777777" w:rsidR="00A70544" w:rsidRDefault="00A70544" w:rsidP="0009791A">
      <w:pPr>
        <w:ind w:firstLine="720"/>
        <w:jc w:val="both"/>
        <w:rPr>
          <w:rFonts w:asciiTheme="minorBidi" w:hAnsiTheme="minorBidi"/>
        </w:rPr>
      </w:pPr>
    </w:p>
    <w:p w14:paraId="0402FA1A" w14:textId="77777777" w:rsidR="00A70544" w:rsidRDefault="00A70544" w:rsidP="0009791A">
      <w:pPr>
        <w:ind w:firstLine="720"/>
        <w:jc w:val="both"/>
        <w:rPr>
          <w:rFonts w:asciiTheme="minorBidi" w:hAnsiTheme="minorBidi"/>
        </w:rPr>
      </w:pPr>
    </w:p>
    <w:p w14:paraId="473C5F8F" w14:textId="77777777" w:rsidR="00A70544" w:rsidRDefault="00A70544" w:rsidP="0009791A">
      <w:pPr>
        <w:ind w:firstLine="720"/>
        <w:jc w:val="both"/>
        <w:rPr>
          <w:rFonts w:asciiTheme="minorBidi" w:hAnsiTheme="minorBidi"/>
        </w:rPr>
      </w:pPr>
    </w:p>
    <w:p w14:paraId="6FA3F9A7" w14:textId="77777777" w:rsidR="00A70544" w:rsidRDefault="00A70544" w:rsidP="0009791A">
      <w:pPr>
        <w:ind w:firstLine="720"/>
        <w:jc w:val="both"/>
        <w:rPr>
          <w:rFonts w:asciiTheme="minorBidi" w:hAnsiTheme="minorBidi"/>
        </w:rPr>
      </w:pPr>
    </w:p>
    <w:p w14:paraId="19117BCC" w14:textId="77777777" w:rsidR="00A70544" w:rsidRDefault="00A70544" w:rsidP="0009791A">
      <w:pPr>
        <w:ind w:firstLine="720"/>
        <w:jc w:val="both"/>
        <w:rPr>
          <w:rFonts w:asciiTheme="minorBidi" w:hAnsiTheme="minorBidi"/>
        </w:rPr>
      </w:pPr>
    </w:p>
    <w:p w14:paraId="44737B34" w14:textId="77777777" w:rsidR="00A70544" w:rsidRDefault="00A70544" w:rsidP="0009791A">
      <w:pPr>
        <w:ind w:firstLine="720"/>
        <w:jc w:val="both"/>
        <w:rPr>
          <w:rFonts w:asciiTheme="minorBidi" w:hAnsiTheme="minorBidi"/>
        </w:rPr>
      </w:pPr>
    </w:p>
    <w:p w14:paraId="49D3C393" w14:textId="77777777" w:rsidR="00A70544" w:rsidRPr="00EA4218" w:rsidRDefault="00A70544" w:rsidP="0009791A">
      <w:pPr>
        <w:ind w:firstLine="720"/>
        <w:jc w:val="both"/>
        <w:rPr>
          <w:rFonts w:asciiTheme="minorBidi" w:hAnsiTheme="minorBidi"/>
        </w:rPr>
      </w:pPr>
    </w:p>
    <w:p w14:paraId="31D528BF" w14:textId="77777777" w:rsidR="00CF6106" w:rsidRPr="00EA4218" w:rsidRDefault="00CF6106" w:rsidP="0009791A">
      <w:pPr>
        <w:jc w:val="center"/>
        <w:rPr>
          <w:rFonts w:asciiTheme="minorBidi" w:hAnsiTheme="minorBidi"/>
          <w:b/>
          <w:bCs/>
        </w:rPr>
      </w:pPr>
      <w:r w:rsidRPr="00EA4218">
        <w:rPr>
          <w:rFonts w:asciiTheme="minorBidi" w:hAnsiTheme="minorBidi"/>
          <w:b/>
          <w:bCs/>
        </w:rPr>
        <w:lastRenderedPageBreak/>
        <w:t>References</w:t>
      </w:r>
    </w:p>
    <w:p w14:paraId="6C3505C9" w14:textId="77777777" w:rsidR="00A70544" w:rsidRPr="00EA4218" w:rsidRDefault="00A70544" w:rsidP="00A70544">
      <w:pPr>
        <w:jc w:val="both"/>
        <w:rPr>
          <w:rFonts w:asciiTheme="minorBidi" w:hAnsiTheme="minorBidi"/>
        </w:rPr>
      </w:pPr>
      <w:r w:rsidRPr="00EA4218">
        <w:rPr>
          <w:rFonts w:asciiTheme="minorBidi" w:hAnsiTheme="minorBidi"/>
        </w:rPr>
        <w:t>Brown MD, Flood KL. Mobility limitation in the older patient: a clinical review. JAMA. 2013;310(11):1168–1177.</w:t>
      </w:r>
    </w:p>
    <w:p w14:paraId="3549D0DA" w14:textId="77777777" w:rsidR="00A70544" w:rsidRPr="00EA4218" w:rsidRDefault="00A70544" w:rsidP="00A70544">
      <w:pPr>
        <w:jc w:val="both"/>
        <w:rPr>
          <w:rFonts w:asciiTheme="minorBidi" w:hAnsiTheme="minorBidi"/>
        </w:rPr>
      </w:pPr>
      <w:r w:rsidRPr="00EA4218">
        <w:rPr>
          <w:rFonts w:asciiTheme="minorBidi" w:hAnsiTheme="minorBidi"/>
        </w:rPr>
        <w:t xml:space="preserve">Claret CR, Herget GW, Kouba L, et al. Neuromuscular adaptations and sensorimotor integration following a unilateral transfemoral amputation. J </w:t>
      </w:r>
      <w:proofErr w:type="spellStart"/>
      <w:r w:rsidRPr="00EA4218">
        <w:rPr>
          <w:rFonts w:asciiTheme="minorBidi" w:hAnsiTheme="minorBidi"/>
        </w:rPr>
        <w:t>Neuroeng</w:t>
      </w:r>
      <w:proofErr w:type="spellEnd"/>
      <w:r w:rsidRPr="00EA4218">
        <w:rPr>
          <w:rFonts w:asciiTheme="minorBidi" w:hAnsiTheme="minorBidi"/>
        </w:rPr>
        <w:t xml:space="preserve"> </w:t>
      </w:r>
      <w:proofErr w:type="spellStart"/>
      <w:r w:rsidRPr="00EA4218">
        <w:rPr>
          <w:rFonts w:asciiTheme="minorBidi" w:hAnsiTheme="minorBidi"/>
        </w:rPr>
        <w:t>Rehabil</w:t>
      </w:r>
      <w:proofErr w:type="spellEnd"/>
      <w:r w:rsidRPr="00EA4218">
        <w:rPr>
          <w:rFonts w:asciiTheme="minorBidi" w:hAnsiTheme="minorBidi"/>
        </w:rPr>
        <w:t>. 2019;16(1):45.</w:t>
      </w:r>
    </w:p>
    <w:p w14:paraId="40D437B6" w14:textId="77777777" w:rsidR="00A70544" w:rsidRPr="00EA4218" w:rsidRDefault="00A70544" w:rsidP="00A70544">
      <w:pPr>
        <w:jc w:val="both"/>
        <w:rPr>
          <w:rFonts w:asciiTheme="minorBidi" w:hAnsiTheme="minorBidi"/>
        </w:rPr>
      </w:pPr>
      <w:r w:rsidRPr="00EA4218">
        <w:rPr>
          <w:rFonts w:asciiTheme="minorBidi" w:hAnsiTheme="minorBidi"/>
        </w:rPr>
        <w:t xml:space="preserve">Clemens S, Doerger C, Lee SP. Current and emerging trends in the management of fall risk in people with lower limb amputation. Curr </w:t>
      </w:r>
      <w:proofErr w:type="spellStart"/>
      <w:r w:rsidRPr="00EA4218">
        <w:rPr>
          <w:rFonts w:asciiTheme="minorBidi" w:hAnsiTheme="minorBidi"/>
        </w:rPr>
        <w:t>Geriatr</w:t>
      </w:r>
      <w:proofErr w:type="spellEnd"/>
      <w:r w:rsidRPr="00EA4218">
        <w:rPr>
          <w:rFonts w:asciiTheme="minorBidi" w:hAnsiTheme="minorBidi"/>
        </w:rPr>
        <w:t xml:space="preserve"> Rep. 2020;9(3):134–141.</w:t>
      </w:r>
    </w:p>
    <w:p w14:paraId="103F6C93" w14:textId="1BD3F55C" w:rsidR="00A70544" w:rsidRDefault="00A70544" w:rsidP="0009791A">
      <w:pPr>
        <w:jc w:val="both"/>
        <w:rPr>
          <w:rFonts w:asciiTheme="minorBidi" w:hAnsiTheme="minorBidi"/>
        </w:rPr>
      </w:pPr>
      <w:r w:rsidRPr="00EA4218">
        <w:rPr>
          <w:rFonts w:asciiTheme="minorBidi" w:hAnsiTheme="minorBidi"/>
        </w:rPr>
        <w:t>Dillingham TR, Pezzin LE, MacKenzie EJ. Limb amputation and limb deficiency: epidemiology and recent trends in the United States. South Med J. 2017;110(1):1–12.</w:t>
      </w:r>
    </w:p>
    <w:p w14:paraId="5988ECEB" w14:textId="37E2BB7D" w:rsidR="00CF6106" w:rsidRDefault="00CF6106" w:rsidP="0009791A">
      <w:pPr>
        <w:jc w:val="both"/>
        <w:rPr>
          <w:rFonts w:asciiTheme="minorBidi" w:hAnsiTheme="minorBidi"/>
        </w:rPr>
      </w:pPr>
      <w:r w:rsidRPr="00EA4218">
        <w:rPr>
          <w:rFonts w:asciiTheme="minorBidi" w:hAnsiTheme="minorBidi"/>
        </w:rPr>
        <w:t xml:space="preserve">El Hage R, </w:t>
      </w:r>
      <w:proofErr w:type="spellStart"/>
      <w:r w:rsidRPr="00EA4218">
        <w:rPr>
          <w:rFonts w:asciiTheme="minorBidi" w:hAnsiTheme="minorBidi"/>
        </w:rPr>
        <w:t>Knippschild</w:t>
      </w:r>
      <w:proofErr w:type="spellEnd"/>
      <w:r w:rsidRPr="00EA4218">
        <w:rPr>
          <w:rFonts w:asciiTheme="minorBidi" w:hAnsiTheme="minorBidi"/>
        </w:rPr>
        <w:t xml:space="preserve"> U, Arnold T, </w:t>
      </w:r>
      <w:proofErr w:type="spellStart"/>
      <w:r w:rsidRPr="00EA4218">
        <w:rPr>
          <w:rFonts w:asciiTheme="minorBidi" w:hAnsiTheme="minorBidi"/>
        </w:rPr>
        <w:t>Hinterseher</w:t>
      </w:r>
      <w:proofErr w:type="spellEnd"/>
      <w:r w:rsidRPr="00EA4218">
        <w:rPr>
          <w:rFonts w:asciiTheme="minorBidi" w:hAnsiTheme="minorBidi"/>
        </w:rPr>
        <w:t xml:space="preserve"> I. Stem cell–based therapy: a promising treatment for diabetic foot ulcer. Biomedicines. 2022;10(7):1050.</w:t>
      </w:r>
    </w:p>
    <w:p w14:paraId="5FA5A7A3" w14:textId="77777777" w:rsidR="00A70544" w:rsidRPr="00EA4218" w:rsidRDefault="00A70544" w:rsidP="00A70544">
      <w:pPr>
        <w:jc w:val="both"/>
        <w:rPr>
          <w:rFonts w:asciiTheme="minorBidi" w:hAnsiTheme="minorBidi"/>
        </w:rPr>
      </w:pPr>
      <w:r w:rsidRPr="00EA4218">
        <w:rPr>
          <w:rFonts w:asciiTheme="minorBidi" w:hAnsiTheme="minorBidi"/>
        </w:rPr>
        <w:t xml:space="preserve">Grimmer M, Riener R, Walsh CJ, Seyfarth A. Mobility-related physical and functional losses due to aging and disease: a motivation for lower limb exoskeletons. J </w:t>
      </w:r>
      <w:proofErr w:type="spellStart"/>
      <w:r w:rsidRPr="00EA4218">
        <w:rPr>
          <w:rFonts w:asciiTheme="minorBidi" w:hAnsiTheme="minorBidi"/>
        </w:rPr>
        <w:t>Neuroeng</w:t>
      </w:r>
      <w:proofErr w:type="spellEnd"/>
      <w:r w:rsidRPr="00EA4218">
        <w:rPr>
          <w:rFonts w:asciiTheme="minorBidi" w:hAnsiTheme="minorBidi"/>
        </w:rPr>
        <w:t xml:space="preserve"> </w:t>
      </w:r>
      <w:proofErr w:type="spellStart"/>
      <w:r w:rsidRPr="00EA4218">
        <w:rPr>
          <w:rFonts w:asciiTheme="minorBidi" w:hAnsiTheme="minorBidi"/>
        </w:rPr>
        <w:t>Rehabil</w:t>
      </w:r>
      <w:proofErr w:type="spellEnd"/>
      <w:r w:rsidRPr="00EA4218">
        <w:rPr>
          <w:rFonts w:asciiTheme="minorBidi" w:hAnsiTheme="minorBidi"/>
        </w:rPr>
        <w:t>. 2019;16(1):123.</w:t>
      </w:r>
    </w:p>
    <w:p w14:paraId="7E25B8C3" w14:textId="77777777" w:rsidR="00A70544" w:rsidRPr="00EA4218" w:rsidRDefault="00A70544" w:rsidP="00A70544">
      <w:pPr>
        <w:jc w:val="both"/>
        <w:rPr>
          <w:rFonts w:asciiTheme="minorBidi" w:hAnsiTheme="minorBidi"/>
        </w:rPr>
      </w:pPr>
      <w:r w:rsidRPr="00EA4218">
        <w:rPr>
          <w:rFonts w:asciiTheme="minorBidi" w:hAnsiTheme="minorBidi"/>
        </w:rPr>
        <w:t xml:space="preserve">Pedersen HE. The problem of the geriatric amputee. </w:t>
      </w:r>
      <w:proofErr w:type="spellStart"/>
      <w:r w:rsidRPr="00EA4218">
        <w:rPr>
          <w:rFonts w:asciiTheme="minorBidi" w:hAnsiTheme="minorBidi"/>
        </w:rPr>
        <w:t>Artif</w:t>
      </w:r>
      <w:proofErr w:type="spellEnd"/>
      <w:r w:rsidRPr="00EA4218">
        <w:rPr>
          <w:rFonts w:asciiTheme="minorBidi" w:hAnsiTheme="minorBidi"/>
        </w:rPr>
        <w:t xml:space="preserve"> Limbs. 1968;12(2):34–42.</w:t>
      </w:r>
    </w:p>
    <w:p w14:paraId="6C280F88" w14:textId="77777777" w:rsidR="00A70544" w:rsidRPr="00EA4218" w:rsidRDefault="00A70544" w:rsidP="00A70544">
      <w:pPr>
        <w:jc w:val="both"/>
        <w:rPr>
          <w:rFonts w:asciiTheme="minorBidi" w:hAnsiTheme="minorBidi"/>
        </w:rPr>
      </w:pPr>
      <w:r w:rsidRPr="00EA4218">
        <w:rPr>
          <w:rFonts w:asciiTheme="minorBidi" w:hAnsiTheme="minorBidi"/>
        </w:rPr>
        <w:t xml:space="preserve">Pepin ME, Devour A, </w:t>
      </w:r>
      <w:proofErr w:type="spellStart"/>
      <w:r w:rsidRPr="00EA4218">
        <w:rPr>
          <w:rFonts w:asciiTheme="minorBidi" w:hAnsiTheme="minorBidi"/>
        </w:rPr>
        <w:t>Coolsaet</w:t>
      </w:r>
      <w:proofErr w:type="spellEnd"/>
      <w:r w:rsidRPr="00EA4218">
        <w:rPr>
          <w:rFonts w:asciiTheme="minorBidi" w:hAnsiTheme="minorBidi"/>
        </w:rPr>
        <w:t xml:space="preserve"> R, Galen S. Correlation between functional ability and physical activity in individuals with transtibial amputations: a cross-sectional study. </w:t>
      </w:r>
      <w:proofErr w:type="spellStart"/>
      <w:r w:rsidRPr="00EA4218">
        <w:rPr>
          <w:rFonts w:asciiTheme="minorBidi" w:hAnsiTheme="minorBidi"/>
        </w:rPr>
        <w:t>Cardiopulm</w:t>
      </w:r>
      <w:proofErr w:type="spellEnd"/>
      <w:r w:rsidRPr="00EA4218">
        <w:rPr>
          <w:rFonts w:asciiTheme="minorBidi" w:hAnsiTheme="minorBidi"/>
        </w:rPr>
        <w:t xml:space="preserve"> Phys Ther J. 2019;30(2):70–78.</w:t>
      </w:r>
    </w:p>
    <w:p w14:paraId="179EF41D" w14:textId="77777777" w:rsidR="00A70544" w:rsidRPr="00EA4218" w:rsidRDefault="00A70544" w:rsidP="00A70544">
      <w:pPr>
        <w:jc w:val="both"/>
        <w:rPr>
          <w:rFonts w:asciiTheme="minorBidi" w:hAnsiTheme="minorBidi"/>
        </w:rPr>
      </w:pPr>
      <w:r w:rsidRPr="00EA4218">
        <w:rPr>
          <w:rFonts w:asciiTheme="minorBidi" w:hAnsiTheme="minorBidi"/>
        </w:rPr>
        <w:t>Roig-</w:t>
      </w:r>
      <w:proofErr w:type="spellStart"/>
      <w:r w:rsidRPr="00EA4218">
        <w:rPr>
          <w:rFonts w:asciiTheme="minorBidi" w:hAnsiTheme="minorBidi"/>
        </w:rPr>
        <w:t>Casasús</w:t>
      </w:r>
      <w:proofErr w:type="spellEnd"/>
      <w:r w:rsidRPr="00EA4218">
        <w:rPr>
          <w:rFonts w:asciiTheme="minorBidi" w:hAnsiTheme="minorBidi"/>
        </w:rPr>
        <w:t xml:space="preserve"> S, Blasco JM, López-Bueno L, et al. Balance training with a dynamometric platform following total knee replacement: a randomized controlled trial. J Geriatr Phys Ther. 2018;41(4):204–209.</w:t>
      </w:r>
    </w:p>
    <w:p w14:paraId="69B057FE" w14:textId="77777777" w:rsidR="00A70544" w:rsidRPr="00EA4218" w:rsidRDefault="00A70544" w:rsidP="00A70544">
      <w:pPr>
        <w:jc w:val="both"/>
        <w:rPr>
          <w:rFonts w:asciiTheme="minorBidi" w:hAnsiTheme="minorBidi"/>
        </w:rPr>
      </w:pPr>
      <w:r w:rsidRPr="00EA4218">
        <w:rPr>
          <w:rFonts w:asciiTheme="minorBidi" w:hAnsiTheme="minorBidi"/>
        </w:rPr>
        <w:t>Thorud JC, Plemmons B, Buckley CJ, Shibuya N, Jupiter DC. Mortality after nontraumatic major amputation among patients with diabetes and peripheral vascular disease: a systematic review. J Foot Ankle Surg. 2016;55(3):591–599.</w:t>
      </w:r>
    </w:p>
    <w:p w14:paraId="4AF9790C" w14:textId="2A972DEC" w:rsidR="00A70544" w:rsidRPr="00EA4218" w:rsidRDefault="00A70544" w:rsidP="0009791A">
      <w:pPr>
        <w:jc w:val="both"/>
        <w:rPr>
          <w:rFonts w:asciiTheme="minorBidi" w:hAnsiTheme="minorBidi"/>
        </w:rPr>
      </w:pPr>
      <w:r w:rsidRPr="00EA4218">
        <w:rPr>
          <w:rFonts w:asciiTheme="minorBidi" w:hAnsiTheme="minorBidi"/>
        </w:rPr>
        <w:t xml:space="preserve">Webster JB, </w:t>
      </w:r>
      <w:proofErr w:type="spellStart"/>
      <w:r w:rsidRPr="00EA4218">
        <w:rPr>
          <w:rFonts w:asciiTheme="minorBidi" w:hAnsiTheme="minorBidi"/>
        </w:rPr>
        <w:t>Crunkhorn</w:t>
      </w:r>
      <w:proofErr w:type="spellEnd"/>
      <w:r w:rsidRPr="00EA4218">
        <w:rPr>
          <w:rFonts w:asciiTheme="minorBidi" w:hAnsiTheme="minorBidi"/>
        </w:rPr>
        <w:t xml:space="preserve"> A, Sall J, Highsmith MJ, </w:t>
      </w:r>
      <w:proofErr w:type="spellStart"/>
      <w:r w:rsidRPr="00EA4218">
        <w:rPr>
          <w:rFonts w:asciiTheme="minorBidi" w:hAnsiTheme="minorBidi"/>
        </w:rPr>
        <w:t>Pruziner</w:t>
      </w:r>
      <w:proofErr w:type="spellEnd"/>
      <w:r w:rsidRPr="00EA4218">
        <w:rPr>
          <w:rFonts w:asciiTheme="minorBidi" w:hAnsiTheme="minorBidi"/>
        </w:rPr>
        <w:t xml:space="preserve"> A, Randolph BJ. Clinical practice guidelines for the rehabilitation of lower limb amputation. Am J Phys Med </w:t>
      </w:r>
      <w:proofErr w:type="spellStart"/>
      <w:r w:rsidRPr="00EA4218">
        <w:rPr>
          <w:rFonts w:asciiTheme="minorBidi" w:hAnsiTheme="minorBidi"/>
        </w:rPr>
        <w:t>Rehabil</w:t>
      </w:r>
      <w:proofErr w:type="spellEnd"/>
      <w:r w:rsidRPr="00EA4218">
        <w:rPr>
          <w:rFonts w:asciiTheme="minorBidi" w:hAnsiTheme="minorBidi"/>
        </w:rPr>
        <w:t>. 2019;98(9):820–829.</w:t>
      </w:r>
    </w:p>
    <w:p w14:paraId="74F5E2C9" w14:textId="77777777" w:rsidR="00CF6106" w:rsidRPr="00EA4218" w:rsidRDefault="00CF6106" w:rsidP="0009791A">
      <w:pPr>
        <w:jc w:val="both"/>
        <w:rPr>
          <w:rFonts w:asciiTheme="minorBidi" w:hAnsiTheme="minorBidi"/>
        </w:rPr>
      </w:pPr>
      <w:r w:rsidRPr="00EA4218">
        <w:rPr>
          <w:rFonts w:asciiTheme="minorBidi" w:hAnsiTheme="minorBidi"/>
        </w:rPr>
        <w:t xml:space="preserve">Wong CK, Gibbs W, Chen ES. Use of the Houghton Scale to classify community and household walking ability in people with lower-limb amputation: criterion-related validity. Arch Phys Med </w:t>
      </w:r>
      <w:proofErr w:type="spellStart"/>
      <w:r w:rsidRPr="00EA4218">
        <w:rPr>
          <w:rFonts w:asciiTheme="minorBidi" w:hAnsiTheme="minorBidi"/>
        </w:rPr>
        <w:t>Rehabil</w:t>
      </w:r>
      <w:proofErr w:type="spellEnd"/>
      <w:r w:rsidRPr="00EA4218">
        <w:rPr>
          <w:rFonts w:asciiTheme="minorBidi" w:hAnsiTheme="minorBidi"/>
        </w:rPr>
        <w:t>. 2016;97(7):1130–1136.</w:t>
      </w:r>
    </w:p>
    <w:p w14:paraId="0FDCBC81" w14:textId="77777777" w:rsidR="00CF6106" w:rsidRPr="00EA4218" w:rsidRDefault="00CF6106" w:rsidP="0009791A">
      <w:pPr>
        <w:jc w:val="both"/>
        <w:rPr>
          <w:rFonts w:asciiTheme="minorBidi" w:hAnsiTheme="minorBidi"/>
        </w:rPr>
      </w:pPr>
      <w:r w:rsidRPr="00EA4218">
        <w:rPr>
          <w:rFonts w:asciiTheme="minorBidi" w:hAnsiTheme="minorBidi"/>
        </w:rPr>
        <w:t>Wong CK. Interrater reliability of the Berg Balance Scale when used by clinicians of various experience levels to assess people with lower limb amputations. Phys Ther. 2014;94(3):371–378.</w:t>
      </w:r>
    </w:p>
    <w:p w14:paraId="730F1784" w14:textId="77777777" w:rsidR="00872CF9" w:rsidRDefault="00872CF9" w:rsidP="00CF6106">
      <w:pPr>
        <w:jc w:val="both"/>
      </w:pPr>
    </w:p>
    <w:sectPr w:rsidR="00872C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033D9"/>
    <w:multiLevelType w:val="multilevel"/>
    <w:tmpl w:val="8BC488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C7237F"/>
    <w:multiLevelType w:val="multilevel"/>
    <w:tmpl w:val="CB029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1F4CF5"/>
    <w:multiLevelType w:val="multilevel"/>
    <w:tmpl w:val="1456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324913"/>
    <w:multiLevelType w:val="multilevel"/>
    <w:tmpl w:val="2DDA6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032A6F"/>
    <w:multiLevelType w:val="multilevel"/>
    <w:tmpl w:val="3228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2758827">
    <w:abstractNumId w:val="4"/>
  </w:num>
  <w:num w:numId="2" w16cid:durableId="178473191">
    <w:abstractNumId w:val="2"/>
  </w:num>
  <w:num w:numId="3" w16cid:durableId="741489420">
    <w:abstractNumId w:val="3"/>
  </w:num>
  <w:num w:numId="4" w16cid:durableId="259988344">
    <w:abstractNumId w:val="0"/>
  </w:num>
  <w:num w:numId="5" w16cid:durableId="730661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210"/>
    <w:rsid w:val="0009791A"/>
    <w:rsid w:val="00154252"/>
    <w:rsid w:val="0024399C"/>
    <w:rsid w:val="00260ACD"/>
    <w:rsid w:val="002B0C88"/>
    <w:rsid w:val="003B2F0A"/>
    <w:rsid w:val="003C61AA"/>
    <w:rsid w:val="00476E21"/>
    <w:rsid w:val="004E08AB"/>
    <w:rsid w:val="0066545D"/>
    <w:rsid w:val="00741210"/>
    <w:rsid w:val="007B7DD9"/>
    <w:rsid w:val="007D42E7"/>
    <w:rsid w:val="00872CF9"/>
    <w:rsid w:val="008A6466"/>
    <w:rsid w:val="008D711B"/>
    <w:rsid w:val="00A70544"/>
    <w:rsid w:val="00A82A24"/>
    <w:rsid w:val="00B04CD9"/>
    <w:rsid w:val="00C05656"/>
    <w:rsid w:val="00C56FAC"/>
    <w:rsid w:val="00CC2538"/>
    <w:rsid w:val="00CF6106"/>
    <w:rsid w:val="00E17FFB"/>
    <w:rsid w:val="00E96FB2"/>
    <w:rsid w:val="00EA4218"/>
  </w:rsids>
  <m:mathPr>
    <m:mathFont m:val="Cambria Math"/>
    <m:brkBin m:val="before"/>
    <m:brkBinSub m:val="--"/>
    <m:smallFrac m:val="0"/>
    <m:dispDef/>
    <m:lMargin m:val="0"/>
    <m:rMargin m:val="0"/>
    <m:defJc m:val="centerGroup"/>
    <m:wrapIndent m:val="1440"/>
    <m:intLim m:val="subSup"/>
    <m:naryLim m:val="undOvr"/>
  </m:mathPr>
  <w:themeFontLang w:val="en-US" w:bidi="ur-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BF9A8"/>
  <w15:chartTrackingRefBased/>
  <w15:docId w15:val="{5C750FF3-4679-46EE-A067-4119AF350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2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741210"/>
    <w:pPr>
      <w:spacing w:before="100" w:beforeAutospacing="1" w:after="100" w:afterAutospacing="1" w:line="240" w:lineRule="auto"/>
      <w:outlineLvl w:val="1"/>
    </w:pPr>
    <w:rPr>
      <w:rFonts w:ascii="Times New Roman" w:eastAsia="Times New Roman" w:hAnsi="Times New Roman" w:cs="Times New Roman"/>
      <w:b/>
      <w:bCs/>
      <w:sz w:val="36"/>
      <w:szCs w:val="36"/>
      <w:lang w:bidi="ur-PK"/>
    </w:rPr>
  </w:style>
  <w:style w:type="paragraph" w:styleId="Heading3">
    <w:name w:val="heading 3"/>
    <w:basedOn w:val="Normal"/>
    <w:link w:val="Heading3Char"/>
    <w:uiPriority w:val="9"/>
    <w:qFormat/>
    <w:rsid w:val="00741210"/>
    <w:pPr>
      <w:spacing w:before="100" w:beforeAutospacing="1" w:after="100" w:afterAutospacing="1" w:line="240" w:lineRule="auto"/>
      <w:outlineLvl w:val="2"/>
    </w:pPr>
    <w:rPr>
      <w:rFonts w:ascii="Times New Roman" w:eastAsia="Times New Roman" w:hAnsi="Times New Roman" w:cs="Times New Roman"/>
      <w:b/>
      <w:bCs/>
      <w:sz w:val="27"/>
      <w:szCs w:val="27"/>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1210"/>
    <w:rPr>
      <w:rFonts w:ascii="Times New Roman" w:eastAsia="Times New Roman" w:hAnsi="Times New Roman" w:cs="Times New Roman"/>
      <w:b/>
      <w:bCs/>
      <w:sz w:val="36"/>
      <w:szCs w:val="36"/>
      <w:lang w:bidi="ur-PK"/>
    </w:rPr>
  </w:style>
  <w:style w:type="character" w:customStyle="1" w:styleId="Heading3Char">
    <w:name w:val="Heading 3 Char"/>
    <w:basedOn w:val="DefaultParagraphFont"/>
    <w:link w:val="Heading3"/>
    <w:uiPriority w:val="9"/>
    <w:rsid w:val="00741210"/>
    <w:rPr>
      <w:rFonts w:ascii="Times New Roman" w:eastAsia="Times New Roman" w:hAnsi="Times New Roman" w:cs="Times New Roman"/>
      <w:b/>
      <w:bCs/>
      <w:sz w:val="27"/>
      <w:szCs w:val="27"/>
      <w:lang w:bidi="ur-PK"/>
    </w:rPr>
  </w:style>
  <w:style w:type="paragraph" w:styleId="NormalWeb">
    <w:name w:val="Normal (Web)"/>
    <w:basedOn w:val="Normal"/>
    <w:uiPriority w:val="99"/>
    <w:semiHidden/>
    <w:unhideWhenUsed/>
    <w:rsid w:val="00741210"/>
    <w:pPr>
      <w:spacing w:before="100" w:beforeAutospacing="1" w:after="100" w:afterAutospacing="1" w:line="240" w:lineRule="auto"/>
    </w:pPr>
    <w:rPr>
      <w:rFonts w:ascii="Times New Roman" w:eastAsia="Times New Roman" w:hAnsi="Times New Roman" w:cs="Times New Roman"/>
      <w:sz w:val="24"/>
      <w:szCs w:val="24"/>
      <w:lang w:bidi="ur-PK"/>
    </w:rPr>
  </w:style>
  <w:style w:type="character" w:styleId="Hyperlink">
    <w:name w:val="Hyperlink"/>
    <w:basedOn w:val="DefaultParagraphFont"/>
    <w:uiPriority w:val="99"/>
    <w:unhideWhenUsed/>
    <w:rsid w:val="00741210"/>
    <w:rPr>
      <w:color w:val="0000FF"/>
      <w:u w:val="single"/>
    </w:rPr>
  </w:style>
  <w:style w:type="character" w:styleId="Strong">
    <w:name w:val="Strong"/>
    <w:basedOn w:val="DefaultParagraphFont"/>
    <w:uiPriority w:val="22"/>
    <w:qFormat/>
    <w:rsid w:val="00741210"/>
    <w:rPr>
      <w:b/>
      <w:bCs/>
    </w:rPr>
  </w:style>
  <w:style w:type="character" w:styleId="Emphasis">
    <w:name w:val="Emphasis"/>
    <w:basedOn w:val="DefaultParagraphFont"/>
    <w:uiPriority w:val="20"/>
    <w:qFormat/>
    <w:rsid w:val="00741210"/>
    <w:rPr>
      <w:i/>
      <w:iCs/>
    </w:rPr>
  </w:style>
  <w:style w:type="character" w:customStyle="1" w:styleId="Heading1Char">
    <w:name w:val="Heading 1 Char"/>
    <w:basedOn w:val="DefaultParagraphFont"/>
    <w:link w:val="Heading1"/>
    <w:uiPriority w:val="9"/>
    <w:rsid w:val="00741210"/>
    <w:rPr>
      <w:rFonts w:asciiTheme="majorHAnsi" w:eastAsiaTheme="majorEastAsia" w:hAnsiTheme="majorHAnsi" w:cstheme="majorBidi"/>
      <w:color w:val="2E74B5" w:themeColor="accent1" w:themeShade="BF"/>
      <w:sz w:val="32"/>
      <w:szCs w:val="32"/>
    </w:rPr>
  </w:style>
  <w:style w:type="table" w:styleId="PlainTable2">
    <w:name w:val="Plain Table 2"/>
    <w:basedOn w:val="TableNormal"/>
    <w:uiPriority w:val="42"/>
    <w:rsid w:val="00CF610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3B2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791A"/>
    <w:pPr>
      <w:spacing w:after="0" w:line="240" w:lineRule="auto"/>
    </w:pPr>
    <w:rPr>
      <w:rFonts w:ascii="Calibri" w:eastAsia="SimSun"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046">
      <w:bodyDiv w:val="1"/>
      <w:marLeft w:val="0"/>
      <w:marRight w:val="0"/>
      <w:marTop w:val="0"/>
      <w:marBottom w:val="0"/>
      <w:divBdr>
        <w:top w:val="none" w:sz="0" w:space="0" w:color="auto"/>
        <w:left w:val="none" w:sz="0" w:space="0" w:color="auto"/>
        <w:bottom w:val="none" w:sz="0" w:space="0" w:color="auto"/>
        <w:right w:val="none" w:sz="0" w:space="0" w:color="auto"/>
      </w:divBdr>
      <w:divsChild>
        <w:div w:id="1442454163">
          <w:marLeft w:val="0"/>
          <w:marRight w:val="0"/>
          <w:marTop w:val="0"/>
          <w:marBottom w:val="0"/>
          <w:divBdr>
            <w:top w:val="none" w:sz="0" w:space="0" w:color="auto"/>
            <w:left w:val="none" w:sz="0" w:space="0" w:color="auto"/>
            <w:bottom w:val="none" w:sz="0" w:space="0" w:color="auto"/>
            <w:right w:val="none" w:sz="0" w:space="0" w:color="auto"/>
          </w:divBdr>
          <w:divsChild>
            <w:div w:id="347028757">
              <w:marLeft w:val="0"/>
              <w:marRight w:val="0"/>
              <w:marTop w:val="0"/>
              <w:marBottom w:val="0"/>
              <w:divBdr>
                <w:top w:val="none" w:sz="0" w:space="0" w:color="auto"/>
                <w:left w:val="none" w:sz="0" w:space="0" w:color="auto"/>
                <w:bottom w:val="none" w:sz="0" w:space="0" w:color="auto"/>
                <w:right w:val="none" w:sz="0" w:space="0" w:color="auto"/>
              </w:divBdr>
            </w:div>
          </w:divsChild>
        </w:div>
        <w:div w:id="1262228610">
          <w:marLeft w:val="0"/>
          <w:marRight w:val="0"/>
          <w:marTop w:val="0"/>
          <w:marBottom w:val="0"/>
          <w:divBdr>
            <w:top w:val="none" w:sz="0" w:space="0" w:color="auto"/>
            <w:left w:val="none" w:sz="0" w:space="0" w:color="auto"/>
            <w:bottom w:val="none" w:sz="0" w:space="0" w:color="auto"/>
            <w:right w:val="none" w:sz="0" w:space="0" w:color="auto"/>
          </w:divBdr>
          <w:divsChild>
            <w:div w:id="1053652842">
              <w:marLeft w:val="0"/>
              <w:marRight w:val="0"/>
              <w:marTop w:val="0"/>
              <w:marBottom w:val="0"/>
              <w:divBdr>
                <w:top w:val="none" w:sz="0" w:space="0" w:color="auto"/>
                <w:left w:val="none" w:sz="0" w:space="0" w:color="auto"/>
                <w:bottom w:val="none" w:sz="0" w:space="0" w:color="auto"/>
                <w:right w:val="none" w:sz="0" w:space="0" w:color="auto"/>
              </w:divBdr>
            </w:div>
          </w:divsChild>
        </w:div>
        <w:div w:id="674383650">
          <w:marLeft w:val="0"/>
          <w:marRight w:val="0"/>
          <w:marTop w:val="0"/>
          <w:marBottom w:val="0"/>
          <w:divBdr>
            <w:top w:val="none" w:sz="0" w:space="0" w:color="auto"/>
            <w:left w:val="none" w:sz="0" w:space="0" w:color="auto"/>
            <w:bottom w:val="none" w:sz="0" w:space="0" w:color="auto"/>
            <w:right w:val="none" w:sz="0" w:space="0" w:color="auto"/>
          </w:divBdr>
          <w:divsChild>
            <w:div w:id="485321863">
              <w:marLeft w:val="0"/>
              <w:marRight w:val="0"/>
              <w:marTop w:val="0"/>
              <w:marBottom w:val="0"/>
              <w:divBdr>
                <w:top w:val="none" w:sz="0" w:space="0" w:color="auto"/>
                <w:left w:val="none" w:sz="0" w:space="0" w:color="auto"/>
                <w:bottom w:val="none" w:sz="0" w:space="0" w:color="auto"/>
                <w:right w:val="none" w:sz="0" w:space="0" w:color="auto"/>
              </w:divBdr>
            </w:div>
          </w:divsChild>
        </w:div>
        <w:div w:id="557785662">
          <w:marLeft w:val="0"/>
          <w:marRight w:val="0"/>
          <w:marTop w:val="0"/>
          <w:marBottom w:val="0"/>
          <w:divBdr>
            <w:top w:val="none" w:sz="0" w:space="0" w:color="auto"/>
            <w:left w:val="none" w:sz="0" w:space="0" w:color="auto"/>
            <w:bottom w:val="none" w:sz="0" w:space="0" w:color="auto"/>
            <w:right w:val="none" w:sz="0" w:space="0" w:color="auto"/>
          </w:divBdr>
          <w:divsChild>
            <w:div w:id="890457394">
              <w:marLeft w:val="0"/>
              <w:marRight w:val="0"/>
              <w:marTop w:val="0"/>
              <w:marBottom w:val="0"/>
              <w:divBdr>
                <w:top w:val="none" w:sz="0" w:space="0" w:color="auto"/>
                <w:left w:val="none" w:sz="0" w:space="0" w:color="auto"/>
                <w:bottom w:val="none" w:sz="0" w:space="0" w:color="auto"/>
                <w:right w:val="none" w:sz="0" w:space="0" w:color="auto"/>
              </w:divBdr>
            </w:div>
          </w:divsChild>
        </w:div>
        <w:div w:id="1327392458">
          <w:marLeft w:val="0"/>
          <w:marRight w:val="0"/>
          <w:marTop w:val="0"/>
          <w:marBottom w:val="0"/>
          <w:divBdr>
            <w:top w:val="none" w:sz="0" w:space="0" w:color="auto"/>
            <w:left w:val="none" w:sz="0" w:space="0" w:color="auto"/>
            <w:bottom w:val="none" w:sz="0" w:space="0" w:color="auto"/>
            <w:right w:val="none" w:sz="0" w:space="0" w:color="auto"/>
          </w:divBdr>
          <w:divsChild>
            <w:div w:id="76645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09794">
      <w:bodyDiv w:val="1"/>
      <w:marLeft w:val="0"/>
      <w:marRight w:val="0"/>
      <w:marTop w:val="0"/>
      <w:marBottom w:val="0"/>
      <w:divBdr>
        <w:top w:val="none" w:sz="0" w:space="0" w:color="auto"/>
        <w:left w:val="none" w:sz="0" w:space="0" w:color="auto"/>
        <w:bottom w:val="none" w:sz="0" w:space="0" w:color="auto"/>
        <w:right w:val="none" w:sz="0" w:space="0" w:color="auto"/>
      </w:divBdr>
    </w:div>
    <w:div w:id="523787240">
      <w:bodyDiv w:val="1"/>
      <w:marLeft w:val="0"/>
      <w:marRight w:val="0"/>
      <w:marTop w:val="0"/>
      <w:marBottom w:val="0"/>
      <w:divBdr>
        <w:top w:val="none" w:sz="0" w:space="0" w:color="auto"/>
        <w:left w:val="none" w:sz="0" w:space="0" w:color="auto"/>
        <w:bottom w:val="none" w:sz="0" w:space="0" w:color="auto"/>
        <w:right w:val="none" w:sz="0" w:space="0" w:color="auto"/>
      </w:divBdr>
    </w:div>
    <w:div w:id="526531281">
      <w:bodyDiv w:val="1"/>
      <w:marLeft w:val="0"/>
      <w:marRight w:val="0"/>
      <w:marTop w:val="0"/>
      <w:marBottom w:val="0"/>
      <w:divBdr>
        <w:top w:val="none" w:sz="0" w:space="0" w:color="auto"/>
        <w:left w:val="none" w:sz="0" w:space="0" w:color="auto"/>
        <w:bottom w:val="none" w:sz="0" w:space="0" w:color="auto"/>
        <w:right w:val="none" w:sz="0" w:space="0" w:color="auto"/>
      </w:divBdr>
    </w:div>
    <w:div w:id="529606786">
      <w:bodyDiv w:val="1"/>
      <w:marLeft w:val="0"/>
      <w:marRight w:val="0"/>
      <w:marTop w:val="0"/>
      <w:marBottom w:val="0"/>
      <w:divBdr>
        <w:top w:val="none" w:sz="0" w:space="0" w:color="auto"/>
        <w:left w:val="none" w:sz="0" w:space="0" w:color="auto"/>
        <w:bottom w:val="none" w:sz="0" w:space="0" w:color="auto"/>
        <w:right w:val="none" w:sz="0" w:space="0" w:color="auto"/>
      </w:divBdr>
    </w:div>
    <w:div w:id="919217636">
      <w:bodyDiv w:val="1"/>
      <w:marLeft w:val="0"/>
      <w:marRight w:val="0"/>
      <w:marTop w:val="0"/>
      <w:marBottom w:val="0"/>
      <w:divBdr>
        <w:top w:val="none" w:sz="0" w:space="0" w:color="auto"/>
        <w:left w:val="none" w:sz="0" w:space="0" w:color="auto"/>
        <w:bottom w:val="none" w:sz="0" w:space="0" w:color="auto"/>
        <w:right w:val="none" w:sz="0" w:space="0" w:color="auto"/>
      </w:divBdr>
    </w:div>
    <w:div w:id="1199392547">
      <w:bodyDiv w:val="1"/>
      <w:marLeft w:val="0"/>
      <w:marRight w:val="0"/>
      <w:marTop w:val="0"/>
      <w:marBottom w:val="0"/>
      <w:divBdr>
        <w:top w:val="none" w:sz="0" w:space="0" w:color="auto"/>
        <w:left w:val="none" w:sz="0" w:space="0" w:color="auto"/>
        <w:bottom w:val="none" w:sz="0" w:space="0" w:color="auto"/>
        <w:right w:val="none" w:sz="0" w:space="0" w:color="auto"/>
      </w:divBdr>
      <w:divsChild>
        <w:div w:id="800196307">
          <w:marLeft w:val="0"/>
          <w:marRight w:val="0"/>
          <w:marTop w:val="0"/>
          <w:marBottom w:val="0"/>
          <w:divBdr>
            <w:top w:val="none" w:sz="0" w:space="0" w:color="auto"/>
            <w:left w:val="none" w:sz="0" w:space="0" w:color="auto"/>
            <w:bottom w:val="none" w:sz="0" w:space="0" w:color="auto"/>
            <w:right w:val="none" w:sz="0" w:space="0" w:color="auto"/>
          </w:divBdr>
          <w:divsChild>
            <w:div w:id="1572891460">
              <w:marLeft w:val="0"/>
              <w:marRight w:val="0"/>
              <w:marTop w:val="0"/>
              <w:marBottom w:val="0"/>
              <w:divBdr>
                <w:top w:val="none" w:sz="0" w:space="0" w:color="auto"/>
                <w:left w:val="none" w:sz="0" w:space="0" w:color="auto"/>
                <w:bottom w:val="none" w:sz="0" w:space="0" w:color="auto"/>
                <w:right w:val="none" w:sz="0" w:space="0" w:color="auto"/>
              </w:divBdr>
            </w:div>
          </w:divsChild>
        </w:div>
        <w:div w:id="1845703432">
          <w:marLeft w:val="0"/>
          <w:marRight w:val="0"/>
          <w:marTop w:val="0"/>
          <w:marBottom w:val="0"/>
          <w:divBdr>
            <w:top w:val="none" w:sz="0" w:space="0" w:color="auto"/>
            <w:left w:val="none" w:sz="0" w:space="0" w:color="auto"/>
            <w:bottom w:val="none" w:sz="0" w:space="0" w:color="auto"/>
            <w:right w:val="none" w:sz="0" w:space="0" w:color="auto"/>
          </w:divBdr>
          <w:divsChild>
            <w:div w:id="1943143617">
              <w:marLeft w:val="0"/>
              <w:marRight w:val="0"/>
              <w:marTop w:val="0"/>
              <w:marBottom w:val="0"/>
              <w:divBdr>
                <w:top w:val="none" w:sz="0" w:space="0" w:color="auto"/>
                <w:left w:val="none" w:sz="0" w:space="0" w:color="auto"/>
                <w:bottom w:val="none" w:sz="0" w:space="0" w:color="auto"/>
                <w:right w:val="none" w:sz="0" w:space="0" w:color="auto"/>
              </w:divBdr>
            </w:div>
          </w:divsChild>
        </w:div>
        <w:div w:id="1520698763">
          <w:marLeft w:val="0"/>
          <w:marRight w:val="0"/>
          <w:marTop w:val="0"/>
          <w:marBottom w:val="0"/>
          <w:divBdr>
            <w:top w:val="none" w:sz="0" w:space="0" w:color="auto"/>
            <w:left w:val="none" w:sz="0" w:space="0" w:color="auto"/>
            <w:bottom w:val="none" w:sz="0" w:space="0" w:color="auto"/>
            <w:right w:val="none" w:sz="0" w:space="0" w:color="auto"/>
          </w:divBdr>
          <w:divsChild>
            <w:div w:id="1834374723">
              <w:marLeft w:val="0"/>
              <w:marRight w:val="0"/>
              <w:marTop w:val="0"/>
              <w:marBottom w:val="0"/>
              <w:divBdr>
                <w:top w:val="none" w:sz="0" w:space="0" w:color="auto"/>
                <w:left w:val="none" w:sz="0" w:space="0" w:color="auto"/>
                <w:bottom w:val="none" w:sz="0" w:space="0" w:color="auto"/>
                <w:right w:val="none" w:sz="0" w:space="0" w:color="auto"/>
              </w:divBdr>
            </w:div>
          </w:divsChild>
        </w:div>
        <w:div w:id="427581919">
          <w:marLeft w:val="0"/>
          <w:marRight w:val="0"/>
          <w:marTop w:val="0"/>
          <w:marBottom w:val="0"/>
          <w:divBdr>
            <w:top w:val="none" w:sz="0" w:space="0" w:color="auto"/>
            <w:left w:val="none" w:sz="0" w:space="0" w:color="auto"/>
            <w:bottom w:val="none" w:sz="0" w:space="0" w:color="auto"/>
            <w:right w:val="none" w:sz="0" w:space="0" w:color="auto"/>
          </w:divBdr>
          <w:divsChild>
            <w:div w:id="111421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668094">
      <w:bodyDiv w:val="1"/>
      <w:marLeft w:val="0"/>
      <w:marRight w:val="0"/>
      <w:marTop w:val="0"/>
      <w:marBottom w:val="0"/>
      <w:divBdr>
        <w:top w:val="none" w:sz="0" w:space="0" w:color="auto"/>
        <w:left w:val="none" w:sz="0" w:space="0" w:color="auto"/>
        <w:bottom w:val="none" w:sz="0" w:space="0" w:color="auto"/>
        <w:right w:val="none" w:sz="0" w:space="0" w:color="auto"/>
      </w:divBdr>
    </w:div>
    <w:div w:id="1601915279">
      <w:bodyDiv w:val="1"/>
      <w:marLeft w:val="0"/>
      <w:marRight w:val="0"/>
      <w:marTop w:val="0"/>
      <w:marBottom w:val="0"/>
      <w:divBdr>
        <w:top w:val="none" w:sz="0" w:space="0" w:color="auto"/>
        <w:left w:val="none" w:sz="0" w:space="0" w:color="auto"/>
        <w:bottom w:val="none" w:sz="0" w:space="0" w:color="auto"/>
        <w:right w:val="none" w:sz="0" w:space="0" w:color="auto"/>
      </w:divBdr>
    </w:div>
    <w:div w:id="1938294388">
      <w:bodyDiv w:val="1"/>
      <w:marLeft w:val="0"/>
      <w:marRight w:val="0"/>
      <w:marTop w:val="0"/>
      <w:marBottom w:val="0"/>
      <w:divBdr>
        <w:top w:val="none" w:sz="0" w:space="0" w:color="auto"/>
        <w:left w:val="none" w:sz="0" w:space="0" w:color="auto"/>
        <w:bottom w:val="none" w:sz="0" w:space="0" w:color="auto"/>
        <w:right w:val="none" w:sz="0" w:space="0" w:color="auto"/>
      </w:divBdr>
    </w:div>
    <w:div w:id="2039576992">
      <w:bodyDiv w:val="1"/>
      <w:marLeft w:val="0"/>
      <w:marRight w:val="0"/>
      <w:marTop w:val="0"/>
      <w:marBottom w:val="0"/>
      <w:divBdr>
        <w:top w:val="none" w:sz="0" w:space="0" w:color="auto"/>
        <w:left w:val="none" w:sz="0" w:space="0" w:color="auto"/>
        <w:bottom w:val="none" w:sz="0" w:space="0" w:color="auto"/>
        <w:right w:val="none" w:sz="0" w:space="0" w:color="auto"/>
      </w:divBdr>
    </w:div>
    <w:div w:id="2077699334">
      <w:bodyDiv w:val="1"/>
      <w:marLeft w:val="0"/>
      <w:marRight w:val="0"/>
      <w:marTop w:val="0"/>
      <w:marBottom w:val="0"/>
      <w:divBdr>
        <w:top w:val="none" w:sz="0" w:space="0" w:color="auto"/>
        <w:left w:val="none" w:sz="0" w:space="0" w:color="auto"/>
        <w:bottom w:val="none" w:sz="0" w:space="0" w:color="auto"/>
        <w:right w:val="none" w:sz="0" w:space="0" w:color="auto"/>
      </w:divBdr>
    </w:div>
    <w:div w:id="2077972330">
      <w:bodyDiv w:val="1"/>
      <w:marLeft w:val="0"/>
      <w:marRight w:val="0"/>
      <w:marTop w:val="0"/>
      <w:marBottom w:val="0"/>
      <w:divBdr>
        <w:top w:val="none" w:sz="0" w:space="0" w:color="auto"/>
        <w:left w:val="none" w:sz="0" w:space="0" w:color="auto"/>
        <w:bottom w:val="none" w:sz="0" w:space="0" w:color="auto"/>
        <w:right w:val="none" w:sz="0" w:space="0" w:color="auto"/>
      </w:divBdr>
      <w:divsChild>
        <w:div w:id="1531140983">
          <w:marLeft w:val="0"/>
          <w:marRight w:val="0"/>
          <w:marTop w:val="0"/>
          <w:marBottom w:val="0"/>
          <w:divBdr>
            <w:top w:val="none" w:sz="0" w:space="0" w:color="auto"/>
            <w:left w:val="none" w:sz="0" w:space="0" w:color="auto"/>
            <w:bottom w:val="none" w:sz="0" w:space="0" w:color="auto"/>
            <w:right w:val="none" w:sz="0" w:space="0" w:color="auto"/>
          </w:divBdr>
          <w:divsChild>
            <w:div w:id="1584299319">
              <w:marLeft w:val="0"/>
              <w:marRight w:val="0"/>
              <w:marTop w:val="0"/>
              <w:marBottom w:val="0"/>
              <w:divBdr>
                <w:top w:val="none" w:sz="0" w:space="0" w:color="auto"/>
                <w:left w:val="none" w:sz="0" w:space="0" w:color="auto"/>
                <w:bottom w:val="none" w:sz="0" w:space="0" w:color="auto"/>
                <w:right w:val="none" w:sz="0" w:space="0" w:color="auto"/>
              </w:divBdr>
            </w:div>
          </w:divsChild>
        </w:div>
        <w:div w:id="927080995">
          <w:marLeft w:val="0"/>
          <w:marRight w:val="0"/>
          <w:marTop w:val="0"/>
          <w:marBottom w:val="0"/>
          <w:divBdr>
            <w:top w:val="none" w:sz="0" w:space="0" w:color="auto"/>
            <w:left w:val="none" w:sz="0" w:space="0" w:color="auto"/>
            <w:bottom w:val="none" w:sz="0" w:space="0" w:color="auto"/>
            <w:right w:val="none" w:sz="0" w:space="0" w:color="auto"/>
          </w:divBdr>
          <w:divsChild>
            <w:div w:id="1368069593">
              <w:marLeft w:val="0"/>
              <w:marRight w:val="0"/>
              <w:marTop w:val="0"/>
              <w:marBottom w:val="0"/>
              <w:divBdr>
                <w:top w:val="none" w:sz="0" w:space="0" w:color="auto"/>
                <w:left w:val="none" w:sz="0" w:space="0" w:color="auto"/>
                <w:bottom w:val="none" w:sz="0" w:space="0" w:color="auto"/>
                <w:right w:val="none" w:sz="0" w:space="0" w:color="auto"/>
              </w:divBdr>
            </w:div>
          </w:divsChild>
        </w:div>
        <w:div w:id="1099330634">
          <w:marLeft w:val="0"/>
          <w:marRight w:val="0"/>
          <w:marTop w:val="0"/>
          <w:marBottom w:val="0"/>
          <w:divBdr>
            <w:top w:val="none" w:sz="0" w:space="0" w:color="auto"/>
            <w:left w:val="none" w:sz="0" w:space="0" w:color="auto"/>
            <w:bottom w:val="none" w:sz="0" w:space="0" w:color="auto"/>
            <w:right w:val="none" w:sz="0" w:space="0" w:color="auto"/>
          </w:divBdr>
          <w:divsChild>
            <w:div w:id="1902405587">
              <w:marLeft w:val="0"/>
              <w:marRight w:val="0"/>
              <w:marTop w:val="0"/>
              <w:marBottom w:val="0"/>
              <w:divBdr>
                <w:top w:val="none" w:sz="0" w:space="0" w:color="auto"/>
                <w:left w:val="none" w:sz="0" w:space="0" w:color="auto"/>
                <w:bottom w:val="none" w:sz="0" w:space="0" w:color="auto"/>
                <w:right w:val="none" w:sz="0" w:space="0" w:color="auto"/>
              </w:divBdr>
            </w:div>
          </w:divsChild>
        </w:div>
        <w:div w:id="559486691">
          <w:marLeft w:val="0"/>
          <w:marRight w:val="0"/>
          <w:marTop w:val="0"/>
          <w:marBottom w:val="0"/>
          <w:divBdr>
            <w:top w:val="none" w:sz="0" w:space="0" w:color="auto"/>
            <w:left w:val="none" w:sz="0" w:space="0" w:color="auto"/>
            <w:bottom w:val="none" w:sz="0" w:space="0" w:color="auto"/>
            <w:right w:val="none" w:sz="0" w:space="0" w:color="auto"/>
          </w:divBdr>
          <w:divsChild>
            <w:div w:id="801777254">
              <w:marLeft w:val="0"/>
              <w:marRight w:val="0"/>
              <w:marTop w:val="0"/>
              <w:marBottom w:val="0"/>
              <w:divBdr>
                <w:top w:val="none" w:sz="0" w:space="0" w:color="auto"/>
                <w:left w:val="none" w:sz="0" w:space="0" w:color="auto"/>
                <w:bottom w:val="none" w:sz="0" w:space="0" w:color="auto"/>
                <w:right w:val="none" w:sz="0" w:space="0" w:color="auto"/>
              </w:divBdr>
            </w:div>
          </w:divsChild>
        </w:div>
        <w:div w:id="540943673">
          <w:marLeft w:val="0"/>
          <w:marRight w:val="0"/>
          <w:marTop w:val="0"/>
          <w:marBottom w:val="0"/>
          <w:divBdr>
            <w:top w:val="none" w:sz="0" w:space="0" w:color="auto"/>
            <w:left w:val="none" w:sz="0" w:space="0" w:color="auto"/>
            <w:bottom w:val="none" w:sz="0" w:space="0" w:color="auto"/>
            <w:right w:val="none" w:sz="0" w:space="0" w:color="auto"/>
          </w:divBdr>
          <w:divsChild>
            <w:div w:id="15661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shramadadalimalik@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2518</Words>
  <Characters>14358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dc:creator>
  <cp:keywords/>
  <dc:description/>
  <cp:lastModifiedBy>Ame Foster</cp:lastModifiedBy>
  <cp:revision>2</cp:revision>
  <dcterms:created xsi:type="dcterms:W3CDTF">2025-12-15T13:38:00Z</dcterms:created>
  <dcterms:modified xsi:type="dcterms:W3CDTF">2025-12-15T13:38:00Z</dcterms:modified>
</cp:coreProperties>
</file>