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256" w:rsidRPr="00724C66" w:rsidRDefault="008A5647" w:rsidP="00932256">
      <w:pPr>
        <w:outlineLvl w:val="0"/>
      </w:pPr>
      <w:r>
        <w:rPr>
          <w:noProof/>
          <w:lang w:val="de-DE" w:eastAsia="de-DE"/>
        </w:rPr>
        <w:drawing>
          <wp:inline distT="0" distB="0" distL="0" distR="0">
            <wp:extent cx="396240" cy="381000"/>
            <wp:effectExtent l="19050" t="0" r="3810" b="0"/>
            <wp:docPr id="1" name="Picture 1" descr="EBLIParti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LIParticlelogo"/>
                    <pic:cNvPicPr>
                      <a:picLocks noChangeAspect="1" noChangeArrowheads="1"/>
                    </pic:cNvPicPr>
                  </pic:nvPicPr>
                  <pic:blipFill>
                    <a:blip r:embed="rId7"/>
                    <a:srcRect/>
                    <a:stretch>
                      <a:fillRect/>
                    </a:stretch>
                  </pic:blipFill>
                  <pic:spPr bwMode="auto">
                    <a:xfrm>
                      <a:off x="0" y="0"/>
                      <a:ext cx="396240" cy="381000"/>
                    </a:xfrm>
                    <a:prstGeom prst="rect">
                      <a:avLst/>
                    </a:prstGeom>
                    <a:noFill/>
                    <a:ln w="9525">
                      <a:noFill/>
                      <a:miter lim="800000"/>
                      <a:headEnd/>
                      <a:tailEnd/>
                    </a:ln>
                  </pic:spPr>
                </pic:pic>
              </a:graphicData>
            </a:graphic>
          </wp:inline>
        </w:drawing>
      </w:r>
      <w:r w:rsidR="00932256">
        <w:t xml:space="preserve">   </w:t>
      </w:r>
      <w:r w:rsidR="00932256" w:rsidRPr="00D86FC5">
        <w:rPr>
          <w:rFonts w:ascii="Palatino Linotype" w:hAnsi="Palatino Linotype"/>
          <w:b/>
          <w:sz w:val="28"/>
          <w:szCs w:val="28"/>
        </w:rPr>
        <w:t>Evidence Based Library and Information Practice</w:t>
      </w:r>
      <w:r w:rsidR="00932256" w:rsidRPr="00D86FC5">
        <w:rPr>
          <w:rFonts w:ascii="Palatino Linotype" w:hAnsi="Palatino Linotype"/>
          <w:sz w:val="28"/>
          <w:szCs w:val="28"/>
        </w:rPr>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8" o:title=""/>
          </v:shape>
          <o:OLEObject Type="Embed" ProgID="Photoshop.Image.7" ShapeID="_x0000_i1025" DrawAspect="Content" ObjectID="_1385478174" r:id="rId9">
            <o:FieldCodes>\s</o:FieldCodes>
          </o:OLEObject>
        </w:object>
      </w:r>
      <w:r w:rsidR="00932256" w:rsidRPr="00D86FC5">
        <w:rPr>
          <w:sz w:val="28"/>
          <w:szCs w:val="28"/>
        </w:rPr>
        <w:t xml:space="preserve"> </w:t>
      </w:r>
      <w:r w:rsidR="00932256" w:rsidRPr="00D86FC5">
        <w:rPr>
          <w:sz w:val="28"/>
          <w:szCs w:val="28"/>
        </w:rPr>
        <w:object w:dxaOrig="15" w:dyaOrig="15">
          <v:shape id="_x0000_i1026" type="#_x0000_t75" style="width:.75pt;height:.75pt" o:ole="">
            <v:imagedata r:id="rId8" o:title=""/>
          </v:shape>
          <o:OLEObject Type="Embed" ProgID="Photoshop.Image.7" ShapeID="_x0000_i1026" DrawAspect="Content" ObjectID="_1385478175" r:id="rId10">
            <o:FieldCodes>\s</o:FieldCodes>
          </o:OLEObject>
        </w:object>
      </w:r>
    </w:p>
    <w:p w:rsidR="00932256" w:rsidRPr="008E1014" w:rsidRDefault="00932256" w:rsidP="00932256">
      <w:pPr>
        <w:pBdr>
          <w:top w:val="single" w:sz="2" w:space="1" w:color="000000"/>
        </w:pBdr>
        <w:outlineLvl w:val="0"/>
        <w:rPr>
          <w:rFonts w:ascii="Palatino Linotype" w:hAnsi="Palatino Linotype"/>
          <w:b/>
          <w:sz w:val="22"/>
          <w:szCs w:val="22"/>
        </w:rPr>
      </w:pPr>
    </w:p>
    <w:p w:rsidR="00932256" w:rsidRDefault="00932256" w:rsidP="00932256">
      <w:pPr>
        <w:autoSpaceDE w:val="0"/>
        <w:autoSpaceDN w:val="0"/>
        <w:adjustRightInd w:val="0"/>
        <w:rPr>
          <w:rFonts w:ascii="Palatino Linotype" w:hAnsi="Palatino Linotype" w:cs="PalatinoLinotype-Italic"/>
          <w:i/>
          <w:iCs/>
          <w:color w:val="000000"/>
          <w:szCs w:val="22"/>
        </w:rPr>
      </w:pPr>
    </w:p>
    <w:p w:rsidR="00932256" w:rsidRDefault="00932256" w:rsidP="00932256">
      <w:pPr>
        <w:autoSpaceDE w:val="0"/>
        <w:autoSpaceDN w:val="0"/>
        <w:adjustRightInd w:val="0"/>
        <w:rPr>
          <w:rFonts w:ascii="Palatino Linotype" w:hAnsi="Palatino Linotype" w:cs="PalatinoLinotype-Italic"/>
          <w:i/>
          <w:iCs/>
          <w:color w:val="000000"/>
          <w:szCs w:val="22"/>
        </w:rPr>
      </w:pPr>
    </w:p>
    <w:p w:rsidR="006B5CCB" w:rsidRPr="006B5CCB" w:rsidRDefault="006B5CCB" w:rsidP="006B5CCB">
      <w:pPr>
        <w:rPr>
          <w:rStyle w:val="Heading2Main"/>
        </w:rPr>
      </w:pPr>
      <w:r w:rsidRPr="006B5CCB">
        <w:rPr>
          <w:rStyle w:val="Heading2Main"/>
          <w:rFonts w:ascii="Palatino Linotype" w:hAnsi="Palatino Linotype"/>
          <w:b w:val="0"/>
          <w:i/>
        </w:rPr>
        <w:t>Evidence Summary</w:t>
      </w:r>
    </w:p>
    <w:p w:rsidR="006B5CCB" w:rsidRPr="006B5CCB" w:rsidRDefault="006B5CCB" w:rsidP="006B5CCB">
      <w:pPr>
        <w:rPr>
          <w:rStyle w:val="Heading2Main"/>
        </w:rPr>
      </w:pPr>
    </w:p>
    <w:p w:rsidR="00546A55" w:rsidRPr="00546A55" w:rsidRDefault="00546A55" w:rsidP="00546A55">
      <w:pPr>
        <w:rPr>
          <w:rFonts w:ascii="Palatino Linotype" w:hAnsi="Palatino Linotype"/>
          <w:b/>
          <w:sz w:val="22"/>
          <w:szCs w:val="22"/>
        </w:rPr>
      </w:pPr>
      <w:r w:rsidRPr="00546A55">
        <w:rPr>
          <w:rFonts w:ascii="Palatino Linotype" w:hAnsi="Palatino Linotype"/>
          <w:b/>
          <w:sz w:val="22"/>
          <w:szCs w:val="22"/>
        </w:rPr>
        <w:t>Point-of-Care Healthcare Databases Are an Overall Asset to Clinicians, but Different Databases May Vary in Usefulness Based on Personal Preferences</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b/>
          <w:sz w:val="20"/>
          <w:szCs w:val="20"/>
        </w:rPr>
      </w:pPr>
      <w:r w:rsidRPr="00A443F4">
        <w:rPr>
          <w:rFonts w:ascii="Palatino Linotype" w:hAnsi="Palatino Linotype"/>
          <w:b/>
          <w:sz w:val="20"/>
          <w:szCs w:val="20"/>
        </w:rPr>
        <w:t>A Review of:</w:t>
      </w:r>
    </w:p>
    <w:p w:rsidR="00546A55" w:rsidRPr="00A443F4" w:rsidRDefault="00546A55" w:rsidP="00546A55">
      <w:pPr>
        <w:ind w:left="720" w:hanging="720"/>
        <w:rPr>
          <w:rFonts w:ascii="Palatino Linotype" w:hAnsi="Palatino Linotype"/>
          <w:sz w:val="20"/>
          <w:szCs w:val="20"/>
        </w:rPr>
      </w:pPr>
      <w:r w:rsidRPr="00A443F4">
        <w:rPr>
          <w:rFonts w:ascii="Palatino Linotype" w:hAnsi="Palatino Linotype"/>
          <w:sz w:val="20"/>
          <w:szCs w:val="20"/>
        </w:rPr>
        <w:t xml:space="preserve">Chan, R. &amp; </w:t>
      </w:r>
      <w:proofErr w:type="spellStart"/>
      <w:r w:rsidRPr="00A443F4">
        <w:rPr>
          <w:rFonts w:ascii="Palatino Linotype" w:hAnsi="Palatino Linotype"/>
          <w:sz w:val="20"/>
          <w:szCs w:val="20"/>
        </w:rPr>
        <w:t>Stieda</w:t>
      </w:r>
      <w:proofErr w:type="spellEnd"/>
      <w:r w:rsidRPr="00A443F4">
        <w:rPr>
          <w:rFonts w:ascii="Palatino Linotype" w:hAnsi="Palatino Linotype"/>
          <w:sz w:val="20"/>
          <w:szCs w:val="20"/>
        </w:rPr>
        <w:t xml:space="preserve">, V. (2011). Evaluation of three point-of-care healthcare databases: BMJ Point-of-Care,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and Nursing Reference Centre. </w:t>
      </w:r>
      <w:r w:rsidRPr="00A443F4">
        <w:rPr>
          <w:rFonts w:ascii="Palatino Linotype" w:hAnsi="Palatino Linotype"/>
          <w:i/>
          <w:sz w:val="20"/>
          <w:szCs w:val="20"/>
        </w:rPr>
        <w:t>Health and Information Libraries Journal, 28</w:t>
      </w:r>
      <w:r w:rsidRPr="00A443F4">
        <w:rPr>
          <w:rFonts w:ascii="Palatino Linotype" w:hAnsi="Palatino Linotype"/>
          <w:sz w:val="20"/>
          <w:szCs w:val="20"/>
        </w:rPr>
        <w:t xml:space="preserve">(1), 50-58. </w:t>
      </w:r>
      <w:proofErr w:type="spellStart"/>
      <w:r w:rsidRPr="00A443F4">
        <w:rPr>
          <w:rFonts w:ascii="Palatino Linotype" w:hAnsi="Palatino Linotype"/>
          <w:sz w:val="20"/>
          <w:szCs w:val="20"/>
        </w:rPr>
        <w:t>doi</w:t>
      </w:r>
      <w:proofErr w:type="spellEnd"/>
      <w:r w:rsidRPr="00A443F4">
        <w:rPr>
          <w:rFonts w:ascii="Palatino Linotype" w:hAnsi="Palatino Linotype"/>
          <w:sz w:val="20"/>
          <w:szCs w:val="20"/>
        </w:rPr>
        <w:t xml:space="preserve">: 10.1111/j.1471-1842.2010.00920.x </w:t>
      </w:r>
      <w:bookmarkStart w:id="0" w:name="_GoBack"/>
      <w:bookmarkEnd w:id="0"/>
    </w:p>
    <w:p w:rsidR="00546A55" w:rsidRPr="00A443F4" w:rsidRDefault="00546A55" w:rsidP="00546A55">
      <w:pPr>
        <w:ind w:left="720" w:hanging="720"/>
        <w:rPr>
          <w:rFonts w:ascii="Palatino Linotype" w:hAnsi="Palatino Linotype"/>
          <w:sz w:val="20"/>
          <w:szCs w:val="20"/>
        </w:rPr>
      </w:pPr>
    </w:p>
    <w:p w:rsidR="00546A55" w:rsidRPr="00A443F4" w:rsidRDefault="00546A55" w:rsidP="00546A55">
      <w:pPr>
        <w:rPr>
          <w:rFonts w:ascii="Palatino Linotype" w:hAnsi="Palatino Linotype"/>
          <w:b/>
          <w:sz w:val="20"/>
          <w:szCs w:val="20"/>
        </w:rPr>
      </w:pPr>
      <w:r w:rsidRPr="00A443F4">
        <w:rPr>
          <w:rFonts w:ascii="Palatino Linotype" w:hAnsi="Palatino Linotype"/>
          <w:b/>
          <w:sz w:val="20"/>
          <w:szCs w:val="20"/>
        </w:rPr>
        <w:t>Reviewed by:</w:t>
      </w: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Carol D. Howe</w:t>
      </w: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Reference Librarian/Assistant Professor</w:t>
      </w: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Gabriele Library, </w:t>
      </w:r>
      <w:proofErr w:type="spellStart"/>
      <w:r w:rsidRPr="00A443F4">
        <w:rPr>
          <w:rFonts w:ascii="Palatino Linotype" w:hAnsi="Palatino Linotype"/>
          <w:sz w:val="20"/>
          <w:szCs w:val="20"/>
        </w:rPr>
        <w:t>Immaculata</w:t>
      </w:r>
      <w:proofErr w:type="spellEnd"/>
      <w:r w:rsidRPr="00A443F4">
        <w:rPr>
          <w:rFonts w:ascii="Palatino Linotype" w:hAnsi="Palatino Linotype"/>
          <w:sz w:val="20"/>
          <w:szCs w:val="20"/>
        </w:rPr>
        <w:t xml:space="preserve"> University</w:t>
      </w:r>
    </w:p>
    <w:p w:rsidR="00546A55" w:rsidRPr="00A443F4" w:rsidRDefault="00546A55" w:rsidP="00546A55">
      <w:pPr>
        <w:rPr>
          <w:rFonts w:ascii="Palatino Linotype" w:hAnsi="Palatino Linotype"/>
          <w:sz w:val="20"/>
          <w:szCs w:val="20"/>
        </w:rPr>
      </w:pPr>
      <w:proofErr w:type="spellStart"/>
      <w:r w:rsidRPr="00A443F4">
        <w:rPr>
          <w:rFonts w:ascii="Palatino Linotype" w:hAnsi="Palatino Linotype"/>
          <w:sz w:val="20"/>
          <w:szCs w:val="20"/>
        </w:rPr>
        <w:t>Immaculata</w:t>
      </w:r>
      <w:proofErr w:type="spellEnd"/>
      <w:r w:rsidRPr="00A443F4">
        <w:rPr>
          <w:rFonts w:ascii="Palatino Linotype" w:hAnsi="Palatino Linotype"/>
          <w:sz w:val="20"/>
          <w:szCs w:val="20"/>
        </w:rPr>
        <w:t>, Pennsylvania, United States of America</w:t>
      </w: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Email: </w:t>
      </w:r>
      <w:hyperlink r:id="rId11" w:history="1">
        <w:r w:rsidR="0063553A" w:rsidRPr="000162DB">
          <w:rPr>
            <w:rStyle w:val="Hyperlink"/>
            <w:rFonts w:ascii="Palatino Linotype" w:hAnsi="Palatino Linotype"/>
            <w:sz w:val="20"/>
            <w:szCs w:val="20"/>
          </w:rPr>
          <w:t>chowe@immaculata.edu</w:t>
        </w:r>
      </w:hyperlink>
      <w:r w:rsidR="0063553A">
        <w:rPr>
          <w:rFonts w:ascii="Palatino Linotype" w:hAnsi="Palatino Linotype"/>
          <w:sz w:val="20"/>
          <w:szCs w:val="20"/>
        </w:rPr>
        <w:t xml:space="preserve"> </w:t>
      </w:r>
    </w:p>
    <w:p w:rsidR="00546A55" w:rsidRPr="00A443F4" w:rsidRDefault="00546A55" w:rsidP="00546A55">
      <w:pPr>
        <w:rPr>
          <w:rFonts w:ascii="Palatino Linotype" w:hAnsi="Palatino Linotype"/>
          <w:b/>
          <w:sz w:val="20"/>
          <w:szCs w:val="20"/>
        </w:rPr>
      </w:pPr>
    </w:p>
    <w:p w:rsidR="004E341C" w:rsidRDefault="00546A55" w:rsidP="004E341C">
      <w:pPr>
        <w:rPr>
          <w:rFonts w:ascii="Palatino Linotype" w:hAnsi="Palatino Linotype"/>
          <w:b/>
          <w:sz w:val="20"/>
          <w:szCs w:val="20"/>
        </w:rPr>
      </w:pPr>
      <w:r w:rsidRPr="00A443F4">
        <w:rPr>
          <w:rFonts w:ascii="Palatino Linotype" w:hAnsi="Palatino Linotype"/>
          <w:b/>
          <w:sz w:val="20"/>
          <w:szCs w:val="20"/>
        </w:rPr>
        <w:t xml:space="preserve">Received: </w:t>
      </w:r>
      <w:r w:rsidR="00B4582D" w:rsidRPr="00B4582D">
        <w:rPr>
          <w:rFonts w:ascii="Palatino Linotype" w:hAnsi="Palatino Linotype"/>
          <w:sz w:val="20"/>
          <w:szCs w:val="20"/>
        </w:rPr>
        <w:t>0</w:t>
      </w:r>
      <w:r w:rsidRPr="00A443F4">
        <w:rPr>
          <w:rFonts w:ascii="Palatino Linotype" w:hAnsi="Palatino Linotype"/>
          <w:sz w:val="20"/>
          <w:szCs w:val="20"/>
        </w:rPr>
        <w:t>2 Aug. 2011</w:t>
      </w:r>
      <w:r w:rsidRPr="00A443F4">
        <w:rPr>
          <w:rFonts w:ascii="Palatino Linotype" w:hAnsi="Palatino Linotype"/>
          <w:b/>
          <w:sz w:val="20"/>
          <w:szCs w:val="20"/>
        </w:rPr>
        <w:tab/>
      </w:r>
      <w:r w:rsidRPr="00A443F4">
        <w:rPr>
          <w:rFonts w:ascii="Palatino Linotype" w:hAnsi="Palatino Linotype"/>
          <w:b/>
          <w:sz w:val="20"/>
          <w:szCs w:val="20"/>
        </w:rPr>
        <w:tab/>
      </w:r>
      <w:r w:rsidRPr="00A443F4">
        <w:rPr>
          <w:rFonts w:ascii="Palatino Linotype" w:hAnsi="Palatino Linotype"/>
          <w:b/>
          <w:sz w:val="20"/>
          <w:szCs w:val="20"/>
        </w:rPr>
        <w:tab/>
      </w:r>
      <w:r w:rsidRPr="00A443F4">
        <w:rPr>
          <w:rFonts w:ascii="Palatino Linotype" w:hAnsi="Palatino Linotype"/>
          <w:b/>
          <w:sz w:val="20"/>
          <w:szCs w:val="20"/>
        </w:rPr>
        <w:tab/>
      </w:r>
      <w:r w:rsidRPr="00A443F4">
        <w:rPr>
          <w:rFonts w:ascii="Palatino Linotype" w:hAnsi="Palatino Linotype"/>
          <w:b/>
          <w:sz w:val="20"/>
          <w:szCs w:val="20"/>
        </w:rPr>
        <w:tab/>
        <w:t xml:space="preserve">Accepted: </w:t>
      </w:r>
      <w:r w:rsidRPr="00A443F4">
        <w:rPr>
          <w:rFonts w:ascii="Palatino Linotype" w:hAnsi="Palatino Linotype"/>
          <w:sz w:val="20"/>
          <w:szCs w:val="20"/>
        </w:rPr>
        <w:t>15 Oct. 2011</w:t>
      </w:r>
    </w:p>
    <w:p w:rsidR="00546A55" w:rsidRPr="00546A55" w:rsidRDefault="00546A55" w:rsidP="004E341C">
      <w:pPr>
        <w:rPr>
          <w:rFonts w:ascii="Palatino Linotype" w:hAnsi="Palatino Linotype"/>
          <w:b/>
          <w:sz w:val="20"/>
          <w:szCs w:val="20"/>
        </w:rPr>
      </w:pPr>
    </w:p>
    <w:p w:rsidR="004E341C" w:rsidRPr="004E341C" w:rsidRDefault="004E341C" w:rsidP="004E341C">
      <w:pPr>
        <w:rPr>
          <w:rFonts w:ascii="Palatino Linotype" w:hAnsi="Palatino Linotype"/>
        </w:rPr>
      </w:pPr>
    </w:p>
    <w:p w:rsidR="004E341C" w:rsidRPr="004E341C" w:rsidRDefault="00E82BFF" w:rsidP="004E341C">
      <w:pPr>
        <w:rPr>
          <w:rFonts w:ascii="Palatino Linotype" w:hAnsi="Palatino Linotype"/>
          <w:sz w:val="18"/>
          <w:szCs w:val="18"/>
        </w:rPr>
      </w:pPr>
      <w:r>
        <w:rPr>
          <w:rFonts w:ascii="Palatino Linotype" w:hAnsi="Palatino Linotype"/>
          <w:noProof/>
          <w:sz w:val="18"/>
          <w:szCs w:val="18"/>
          <w:lang w:val="de-DE" w:eastAsia="de-DE"/>
        </w:rPr>
        <w:drawing>
          <wp:inline distT="0" distB="0" distL="0" distR="0">
            <wp:extent cx="83820" cy="99060"/>
            <wp:effectExtent l="19050" t="0" r="0" b="0"/>
            <wp:docPr id="3" name="Picture 3" descr="cc-ca_logo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ca_logo_xl"/>
                    <pic:cNvPicPr>
                      <a:picLocks noChangeAspect="1" noChangeArrowheads="1"/>
                    </pic:cNvPicPr>
                  </pic:nvPicPr>
                  <pic:blipFill>
                    <a:blip r:embed="rId12"/>
                    <a:srcRect r="76097"/>
                    <a:stretch>
                      <a:fillRect/>
                    </a:stretch>
                  </pic:blipFill>
                  <pic:spPr bwMode="auto">
                    <a:xfrm>
                      <a:off x="0" y="0"/>
                      <a:ext cx="83820" cy="99060"/>
                    </a:xfrm>
                    <a:prstGeom prst="rect">
                      <a:avLst/>
                    </a:prstGeom>
                    <a:noFill/>
                    <a:ln w="9525">
                      <a:noFill/>
                      <a:miter lim="800000"/>
                      <a:headEnd/>
                      <a:tailEnd/>
                    </a:ln>
                  </pic:spPr>
                </pic:pic>
              </a:graphicData>
            </a:graphic>
          </wp:inline>
        </w:drawing>
      </w:r>
      <w:r>
        <w:rPr>
          <w:rFonts w:ascii="Palatino Linotype" w:hAnsi="Palatino Linotype"/>
          <w:noProof/>
          <w:sz w:val="18"/>
          <w:szCs w:val="18"/>
          <w:lang w:val="en-US"/>
        </w:rPr>
        <w:t xml:space="preserve"> 2011</w:t>
      </w:r>
      <w:r w:rsidR="00546A55">
        <w:rPr>
          <w:rFonts w:ascii="Palatino Linotype" w:hAnsi="Palatino Linotype"/>
          <w:sz w:val="18"/>
          <w:szCs w:val="18"/>
        </w:rPr>
        <w:t xml:space="preserve"> Howe</w:t>
      </w:r>
      <w:r w:rsidR="004E341C" w:rsidRPr="004E341C">
        <w:rPr>
          <w:rFonts w:ascii="Palatino Linotype" w:hAnsi="Palatino Linotype"/>
          <w:sz w:val="18"/>
          <w:szCs w:val="18"/>
        </w:rPr>
        <w:t>. This is an Open Access article distributed under the terms of the Creative Commons</w:t>
      </w:r>
      <w:r w:rsidR="004E341C" w:rsidRPr="004E341C">
        <w:rPr>
          <w:rFonts w:ascii="Palatino Linotype" w:hAnsi="Palatino Linotype" w:cs="Cambria Math"/>
          <w:sz w:val="18"/>
          <w:szCs w:val="18"/>
        </w:rPr>
        <w:t>‐</w:t>
      </w:r>
      <w:r w:rsidR="004E341C" w:rsidRPr="004E341C">
        <w:rPr>
          <w:rFonts w:ascii="Palatino Linotype" w:hAnsi="Palatino Linotype"/>
          <w:sz w:val="18"/>
          <w:szCs w:val="18"/>
        </w:rPr>
        <w:t>Attribution</w:t>
      </w:r>
      <w:r w:rsidR="004E341C" w:rsidRPr="004E341C">
        <w:rPr>
          <w:rFonts w:ascii="Palatino Linotype" w:hAnsi="Palatino Linotype" w:cs="Cambria Math"/>
          <w:sz w:val="18"/>
          <w:szCs w:val="18"/>
        </w:rPr>
        <w:t>‐</w:t>
      </w:r>
      <w:proofErr w:type="spellStart"/>
      <w:r w:rsidR="004E341C" w:rsidRPr="004E341C">
        <w:rPr>
          <w:rFonts w:ascii="Palatino Linotype" w:hAnsi="Palatino Linotype"/>
          <w:sz w:val="18"/>
          <w:szCs w:val="18"/>
        </w:rPr>
        <w:t>Noncommercial</w:t>
      </w:r>
      <w:proofErr w:type="spellEnd"/>
      <w:r w:rsidR="004E341C" w:rsidRPr="004E341C">
        <w:rPr>
          <w:rFonts w:ascii="Palatino Linotype" w:hAnsi="Palatino Linotype" w:cs="Cambria Math"/>
          <w:sz w:val="18"/>
          <w:szCs w:val="18"/>
        </w:rPr>
        <w:t>‐</w:t>
      </w:r>
      <w:r w:rsidR="004E341C" w:rsidRPr="004E341C">
        <w:rPr>
          <w:rFonts w:ascii="Palatino Linotype" w:hAnsi="Palatino Linotype"/>
          <w:sz w:val="18"/>
          <w:szCs w:val="18"/>
        </w:rPr>
        <w:t>Share Alike License 2.5 Canada (</w:t>
      </w:r>
      <w:r w:rsidR="004E341C" w:rsidRPr="004E341C">
        <w:rPr>
          <w:rFonts w:ascii="Palatino Linotype" w:hAnsi="Palatino Linotype"/>
          <w:sz w:val="18"/>
          <w:szCs w:val="18"/>
          <w:u w:val="single"/>
        </w:rPr>
        <w:t>http://creativecommons.org/licenses/by</w:t>
      </w:r>
      <w:r w:rsidR="004E341C" w:rsidRPr="004E341C">
        <w:rPr>
          <w:rFonts w:ascii="Palatino Linotype" w:hAnsi="Palatino Linotype" w:cs="Cambria Math"/>
          <w:sz w:val="18"/>
          <w:szCs w:val="18"/>
          <w:u w:val="single"/>
        </w:rPr>
        <w:t>‐</w:t>
      </w:r>
      <w:r w:rsidR="004E341C" w:rsidRPr="004E341C">
        <w:rPr>
          <w:rFonts w:ascii="Palatino Linotype" w:hAnsi="Palatino Linotype"/>
          <w:sz w:val="18"/>
          <w:szCs w:val="18"/>
          <w:u w:val="single"/>
        </w:rPr>
        <w:t>nc</w:t>
      </w:r>
      <w:r w:rsidR="004E341C" w:rsidRPr="004E341C">
        <w:rPr>
          <w:rFonts w:ascii="Palatino Linotype" w:hAnsi="Palatino Linotype" w:cs="Cambria Math"/>
          <w:sz w:val="18"/>
          <w:szCs w:val="18"/>
          <w:u w:val="single"/>
        </w:rPr>
        <w:t>‐</w:t>
      </w:r>
      <w:r w:rsidR="004E341C" w:rsidRPr="004E341C">
        <w:rPr>
          <w:rFonts w:ascii="Palatino Linotype" w:hAnsi="Palatino Linotype"/>
          <w:sz w:val="18"/>
          <w:szCs w:val="18"/>
          <w:u w:val="single"/>
        </w:rPr>
        <w:t>sa/2.5/ca/</w:t>
      </w:r>
      <w:r w:rsidR="004E341C" w:rsidRPr="004E341C">
        <w:rPr>
          <w:rFonts w:ascii="Palatino Linotype" w:hAnsi="Palatino Linotype"/>
          <w:sz w:val="18"/>
          <w:szCs w:val="18"/>
        </w:rPr>
        <w:t>), which permits unrestricted use, distribution, and reproduction in any medium, provided the original work is properly attributed, not used for commercial purposes, and, if transformed, the resulting work is redistributed under the same or similar license to this one.</w:t>
      </w:r>
    </w:p>
    <w:p w:rsidR="00932256" w:rsidRPr="004E341C" w:rsidRDefault="00932256" w:rsidP="00932256">
      <w:pPr>
        <w:pStyle w:val="BodyText"/>
        <w:pBdr>
          <w:bottom w:val="single" w:sz="2" w:space="1" w:color="000000"/>
        </w:pBdr>
        <w:rPr>
          <w:rFonts w:ascii="Palatino Linotype" w:hAnsi="Palatino Linotype"/>
          <w:sz w:val="18"/>
          <w:szCs w:val="18"/>
          <w:lang w:val="en-CA"/>
        </w:rPr>
      </w:pPr>
    </w:p>
    <w:p w:rsidR="001562B6" w:rsidRPr="004E341C" w:rsidRDefault="001562B6">
      <w:pPr>
        <w:rPr>
          <w:rFonts w:ascii="Palatino Linotype" w:hAnsi="Palatino Linotype"/>
        </w:rPr>
      </w:pPr>
    </w:p>
    <w:p w:rsidR="00546A55" w:rsidRDefault="00546A55" w:rsidP="00546A55">
      <w:pPr>
        <w:ind w:left="720" w:hanging="720"/>
        <w:rPr>
          <w:rFonts w:ascii="Palatino Linotype" w:hAnsi="Palatino Linotype"/>
          <w:b/>
          <w:sz w:val="20"/>
          <w:szCs w:val="20"/>
        </w:rPr>
        <w:sectPr w:rsidR="00546A55" w:rsidSect="00B4529B">
          <w:headerReference w:type="default" r:id="rId13"/>
          <w:footerReference w:type="default" r:id="rId14"/>
          <w:footnotePr>
            <w:pos w:val="beneathText"/>
          </w:footnotePr>
          <w:type w:val="continuous"/>
          <w:pgSz w:w="11905" w:h="16837"/>
          <w:pgMar w:top="1440" w:right="1440" w:bottom="1440" w:left="1440" w:header="720" w:footer="720" w:gutter="0"/>
          <w:pgNumType w:start="152"/>
          <w:cols w:space="720"/>
          <w:docGrid w:linePitch="360"/>
        </w:sectPr>
      </w:pPr>
    </w:p>
    <w:p w:rsidR="00546A55" w:rsidRPr="00A443F4" w:rsidRDefault="00546A55" w:rsidP="00546A55">
      <w:pPr>
        <w:ind w:left="720" w:hanging="720"/>
        <w:rPr>
          <w:rFonts w:ascii="Palatino Linotype" w:hAnsi="Palatino Linotype"/>
          <w:sz w:val="20"/>
          <w:szCs w:val="20"/>
        </w:rPr>
      </w:pPr>
      <w:r w:rsidRPr="00A443F4">
        <w:rPr>
          <w:rFonts w:ascii="Palatino Linotype" w:hAnsi="Palatino Linotype"/>
          <w:b/>
          <w:sz w:val="20"/>
          <w:szCs w:val="20"/>
        </w:rPr>
        <w:lastRenderedPageBreak/>
        <w:t>Abstract</w:t>
      </w:r>
    </w:p>
    <w:p w:rsidR="00546A55" w:rsidRPr="00A443F4" w:rsidRDefault="00546A55" w:rsidP="00546A55">
      <w:pPr>
        <w:ind w:left="720" w:hanging="720"/>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Objective – </w:t>
      </w:r>
      <w:r w:rsidRPr="00A443F4">
        <w:rPr>
          <w:rFonts w:ascii="Palatino Linotype" w:hAnsi="Palatino Linotype"/>
          <w:sz w:val="20"/>
          <w:szCs w:val="20"/>
        </w:rPr>
        <w:t>To</w:t>
      </w:r>
      <w:r w:rsidRPr="00A443F4">
        <w:rPr>
          <w:rFonts w:ascii="Palatino Linotype" w:hAnsi="Palatino Linotype"/>
          <w:b/>
          <w:sz w:val="20"/>
          <w:szCs w:val="20"/>
        </w:rPr>
        <w:t xml:space="preserve"> </w:t>
      </w:r>
      <w:r w:rsidRPr="00A443F4">
        <w:rPr>
          <w:rFonts w:ascii="Palatino Linotype" w:hAnsi="Palatino Linotype"/>
          <w:sz w:val="20"/>
          <w:szCs w:val="20"/>
        </w:rPr>
        <w:t xml:space="preserve">evaluate the usefulness of three point-of-care healthcare databases (BMJ Point-of-Care,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and Nursing Reference Centre) in clinical practice.</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Design – </w:t>
      </w:r>
      <w:r w:rsidRPr="00A443F4">
        <w:rPr>
          <w:rFonts w:ascii="Palatino Linotype" w:hAnsi="Palatino Linotype"/>
          <w:sz w:val="20"/>
          <w:szCs w:val="20"/>
        </w:rPr>
        <w:t xml:space="preserve">A descriptive study analyzing questionnaire results.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Setting – </w:t>
      </w:r>
      <w:r w:rsidRPr="00A443F4">
        <w:rPr>
          <w:rFonts w:ascii="Palatino Linotype" w:hAnsi="Palatino Linotype"/>
          <w:sz w:val="20"/>
          <w:szCs w:val="20"/>
        </w:rPr>
        <w:t xml:space="preserve">Hospitals within Alberta, Canada’s two largest health regions (at the time of this study), with a third health region submitting a small number of responses. </w:t>
      </w:r>
    </w:p>
    <w:p w:rsidR="00546A55" w:rsidRPr="00A443F4" w:rsidRDefault="00546A55" w:rsidP="00546A55">
      <w:pPr>
        <w:ind w:left="720" w:hanging="720"/>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Subjects – </w:t>
      </w:r>
      <w:r w:rsidRPr="00A443F4">
        <w:rPr>
          <w:rFonts w:ascii="Palatino Linotype" w:hAnsi="Palatino Linotype"/>
          <w:sz w:val="20"/>
          <w:szCs w:val="20"/>
        </w:rPr>
        <w:t xml:space="preserve">A total of 46 Alberta hospital personnel answered the questionnaire, including 19 clinicians, 7 administrators, 6 </w:t>
      </w:r>
      <w:r w:rsidRPr="00A443F4">
        <w:rPr>
          <w:rFonts w:ascii="Palatino Linotype" w:hAnsi="Palatino Linotype"/>
          <w:sz w:val="20"/>
          <w:szCs w:val="20"/>
        </w:rPr>
        <w:lastRenderedPageBreak/>
        <w:t>nurses, 1 librarian, 1 preceptor, and “some” project coordinators. Subjects were chosen using a non-probability sampling method.</w:t>
      </w:r>
    </w:p>
    <w:p w:rsidR="00546A55" w:rsidRPr="00A443F4" w:rsidRDefault="00546A55" w:rsidP="00546A55">
      <w:pPr>
        <w:ind w:left="720" w:hanging="720"/>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Methods – </w:t>
      </w:r>
      <w:r w:rsidRPr="00A443F4">
        <w:rPr>
          <w:rFonts w:ascii="Palatino Linotype" w:hAnsi="Palatino Linotype"/>
          <w:sz w:val="20"/>
          <w:szCs w:val="20"/>
        </w:rPr>
        <w:t xml:space="preserve">The researchers developed an online questionnaire consisting of 17 questions and posted it on the University of Calgary’s Health Sciences Library and the Health Knowledge Network websites. The questions, in general, asked respondents how easy the databases were to search and use, whether the database content answered their clinical questions, and whether they would recommend the databases for future purchase. Most questions required a response for each of the three databases. The researchers collected quantitative data by using a Likert scale from 1 to 5, with 5 being the most positive answer </w:t>
      </w:r>
      <w:r w:rsidRPr="00A443F4">
        <w:rPr>
          <w:rFonts w:ascii="Palatino Linotype" w:hAnsi="Palatino Linotype"/>
          <w:sz w:val="20"/>
          <w:szCs w:val="20"/>
        </w:rPr>
        <w:lastRenderedPageBreak/>
        <w:t xml:space="preserve">and 1 being the most negative. They collected qualitative data by asking open-ended questions. </w:t>
      </w:r>
    </w:p>
    <w:p w:rsidR="00546A55" w:rsidRPr="00A443F4" w:rsidRDefault="00546A55" w:rsidP="00546A55">
      <w:pPr>
        <w:ind w:left="720" w:hanging="720"/>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Main Results – </w:t>
      </w:r>
      <w:r w:rsidRPr="00A443F4">
        <w:rPr>
          <w:rFonts w:ascii="Palatino Linotype" w:hAnsi="Palatino Linotype"/>
          <w:sz w:val="20"/>
          <w:szCs w:val="20"/>
        </w:rPr>
        <w:t xml:space="preserve">With regard to ease of searching, BMJ Point-of-Care (BMJ) received the greatest number of responses (71%) at level 5. A smaller number of respondents (56%) rated Nursing Reference Centre (NRC) at level 5.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received 59% of the responses at level 5, but it also received the greatest number of responses at the next highest level (level 4). Respondents rated all three databases similarly with regard to levels 1 and 2.</w:t>
      </w: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ab/>
      </w: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Regarding how easy the resources were to learn, most respondents rated all three databases as easy to learn (BMJ, 77%;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72%; and NRC, 68%). Very few respondents thought any of the databases were difficult to learn.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The researchers gleaned from open-ended questions that the respondents generally thought all three databases were faster and easier to use than the conventional databases they had used. Respondents did not always agree with one another, however, about which features they liked or why.</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With regard to content, most respondents agreed that the information in all three databases was relevant to their needs (94.6% for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and 87.9% for BMJ and NRC). Respondents also generally agreed that all three databases answered their questions to a high degree.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had the highest percentage of answers at levels 4 and 5 and the lowest percentage of answers at level 2. NRC was the reverse, with the lowest percentage of answers at levels 4 and 5 and the highest percentage of answers at level 2. Still, the researchers felt that all three databases answered respondents’ questions to a similar degree. In the open-ended questions, respondents voiced additional likes and dislikes about content, but again, answers among respondents were not consistent with one another.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lastRenderedPageBreak/>
        <w:t xml:space="preserve">Respondents were asked how often they would use the resource if it were available though their library. The majority of BMJ users reported that they would use it extensively or moderately. About 36% and 39% of NRC users reported they would use it extensively or moderately, respectively; while 43.5% and 34.8% of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users reported they would use it extensively or moderately, respectively. When asked if they would recommend the resource for the library, 84.8% would recommend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75% would recommend BMJ, and 67.6% would recommend NRC. The open-ended questions generally indicated that respondents would recommend all three databases.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Regarding how respondents preferred training on these resources, users preferred online tutorials to learn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and NRC. Users preferred website tips and instruction to learn BMJ. The least preferred methods of training for all three databases were live demonstration and classroom training. </w:t>
      </w:r>
    </w:p>
    <w:p w:rsidR="00546A55" w:rsidRPr="00A443F4" w:rsidRDefault="00546A55" w:rsidP="00546A55">
      <w:pPr>
        <w:ind w:firstLine="720"/>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b/>
          <w:sz w:val="20"/>
          <w:szCs w:val="20"/>
        </w:rPr>
        <w:t xml:space="preserve">Conclusion – </w:t>
      </w:r>
      <w:r w:rsidRPr="00A443F4">
        <w:rPr>
          <w:rFonts w:ascii="Palatino Linotype" w:hAnsi="Palatino Linotype"/>
          <w:sz w:val="20"/>
          <w:szCs w:val="20"/>
        </w:rPr>
        <w:t xml:space="preserve">None of the databases particularly stood out with regard to usability and content. The respondents generally liked all three databases.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It is important to note, however, that detailed comparisons among the databases were difficult to make. First, respondents did not always give an answer for all three databases for a given question. Because of this, and to present a more meaningful analysis, the researchers often reported the number of respondents who answered a certain way as a percentage rather than a number. Second, although the respondents generally liked all three databases, opinions about likes and dislikes were not consistent among respondents. For example, one respondent thought the NRC and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interfaces were more difficult to navigate than BMJ, while another respondent thought BMJ had the harder-to-navigate interface. The researchers felt that respondents’ prior experience with the databases may have influenced their preferences. They were unable to determine if the respondents’ </w:t>
      </w:r>
      <w:r w:rsidRPr="00A443F4">
        <w:rPr>
          <w:rFonts w:ascii="Palatino Linotype" w:hAnsi="Palatino Linotype"/>
          <w:sz w:val="20"/>
          <w:szCs w:val="20"/>
        </w:rPr>
        <w:lastRenderedPageBreak/>
        <w:t>professional interests had any influence on their preferences. Inconsistent responses made it difficult for researchers to assign an overall value to a given database. Therefore, this survey did not help to make definitive purchasing decisions. The researchers felt they would have to look at each resource much more carefully to make such a decision.</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The researchers noted several ideas for future research of this sort. They acknowledged that the sample size was not big enough to determine statistical significance and thought that better marketing of the questionnaire may have increased the numbers. They also thought that it would be interesting to observe the respondents using the databases in real-time to find out such things as: what information they require in their daily work, how long it takes them to find it, and what they do with it once they find it.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p>
    <w:p w:rsidR="00546A55" w:rsidRPr="00A443F4" w:rsidRDefault="00546A55" w:rsidP="00546A55">
      <w:pPr>
        <w:ind w:left="720" w:hanging="720"/>
        <w:rPr>
          <w:rFonts w:ascii="Palatino Linotype" w:hAnsi="Palatino Linotype"/>
          <w:sz w:val="20"/>
          <w:szCs w:val="20"/>
        </w:rPr>
      </w:pPr>
      <w:r w:rsidRPr="00A443F4">
        <w:rPr>
          <w:rFonts w:ascii="Palatino Linotype" w:hAnsi="Palatino Linotype"/>
          <w:b/>
          <w:sz w:val="20"/>
          <w:szCs w:val="20"/>
        </w:rPr>
        <w:t xml:space="preserve">Commentary </w:t>
      </w:r>
    </w:p>
    <w:p w:rsidR="00546A55" w:rsidRPr="00A443F4" w:rsidRDefault="00546A55" w:rsidP="00546A55">
      <w:pPr>
        <w:ind w:left="720" w:hanging="720"/>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Point-of-care databases are a relatively new addition to the clinicians’ toolbox. The purpose of such databases is to give clinicians quick access to reliable information that can be used to treat their patients in real time.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As with any database, librarians need to evaluate point-of-care databases before making expensive purchasing decisions. The objective of this study was to do just that. While the researchers met this objective, the results were less than satisfying. Out of the three databases, there was no clear winner that would lead the researchers to purchase one database over the others.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Thus, the value of this study is not necessarily the evaluation of the databases at hand but the implications for further research of this type. One problem was the small sample size, a </w:t>
      </w:r>
      <w:r w:rsidRPr="00A443F4">
        <w:rPr>
          <w:rFonts w:ascii="Palatino Linotype" w:hAnsi="Palatino Linotype"/>
          <w:sz w:val="20"/>
          <w:szCs w:val="20"/>
        </w:rPr>
        <w:lastRenderedPageBreak/>
        <w:t xml:space="preserve">problem further exacerbated by the fact that respondents did not always give an answer for each of the three databases. A larger number of respondents could have alleviated this. In order to get more respondents, the researchers thought in hindsight that they could have posted a note about the survey prior to users entering the databases, and then directed users to the survey when they were finished searching. Additional marketing efforts could also have helped increase the number of respondents.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Judging from the results of this study, the researchers could hardly make a sound purchasing decision. It is not enough that the respondents would </w:t>
      </w:r>
      <w:r w:rsidRPr="00A443F4">
        <w:rPr>
          <w:rFonts w:ascii="Palatino Linotype" w:hAnsi="Palatino Linotype"/>
          <w:i/>
          <w:sz w:val="20"/>
          <w:szCs w:val="20"/>
        </w:rPr>
        <w:t>probably</w:t>
      </w:r>
      <w:r w:rsidRPr="00A443F4">
        <w:rPr>
          <w:rFonts w:ascii="Palatino Linotype" w:hAnsi="Palatino Linotype"/>
          <w:sz w:val="20"/>
          <w:szCs w:val="20"/>
        </w:rPr>
        <w:t xml:space="preserve"> be happy with any of the three databases. It was clear from the open-ended questions that users had definite opinions about the features and content of the different databases. What is missing from this research is perhaps a connection between the users’ comments and the type of task they were trying to accomplish at the time of comment. Is one database better than the others for point-of-care versus post-care versus non-care information research? The researchers also could not determine if the clinicians’ professional interests influenced their preferences. Do oncology nurses prefer one database while plastic surgeons prefer another? Such information would help librarians to make purchasing decisions within the framework of clinicians’ work and interests. </w:t>
      </w:r>
    </w:p>
    <w:p w:rsidR="00546A55" w:rsidRPr="00A443F4" w:rsidRDefault="00546A55" w:rsidP="00546A55">
      <w:pPr>
        <w:rPr>
          <w:rFonts w:ascii="Palatino Linotype" w:hAnsi="Palatino Linotype"/>
          <w:sz w:val="20"/>
          <w:szCs w:val="20"/>
        </w:rPr>
      </w:pPr>
    </w:p>
    <w:p w:rsidR="00546A55" w:rsidRPr="00A443F4" w:rsidRDefault="00546A55" w:rsidP="00546A55">
      <w:pPr>
        <w:rPr>
          <w:rFonts w:ascii="Palatino Linotype" w:hAnsi="Palatino Linotype"/>
          <w:sz w:val="20"/>
          <w:szCs w:val="20"/>
        </w:rPr>
      </w:pPr>
      <w:r w:rsidRPr="00A443F4">
        <w:rPr>
          <w:rFonts w:ascii="Palatino Linotype" w:hAnsi="Palatino Linotype"/>
          <w:sz w:val="20"/>
          <w:szCs w:val="20"/>
        </w:rPr>
        <w:t xml:space="preserve">Overall, this study is a valuable contribution to the evaluative process of point-of-care databases. The researchers have provided a good basic analysis of three important point-of-care databases: BMJ Point-of-Care, </w:t>
      </w:r>
      <w:proofErr w:type="spellStart"/>
      <w:r w:rsidRPr="00A443F4">
        <w:rPr>
          <w:rFonts w:ascii="Palatino Linotype" w:hAnsi="Palatino Linotype"/>
          <w:sz w:val="20"/>
          <w:szCs w:val="20"/>
        </w:rPr>
        <w:t>Clin-eguide</w:t>
      </w:r>
      <w:proofErr w:type="spellEnd"/>
      <w:r w:rsidRPr="00A443F4">
        <w:rPr>
          <w:rFonts w:ascii="Palatino Linotype" w:hAnsi="Palatino Linotype"/>
          <w:sz w:val="20"/>
          <w:szCs w:val="20"/>
        </w:rPr>
        <w:t xml:space="preserve">, and Nursing Reference Centre. More importantly, however, they have provided valuable insight for future research of this type.  </w:t>
      </w:r>
    </w:p>
    <w:p w:rsidR="00546A55" w:rsidRDefault="00546A55" w:rsidP="006D0854">
      <w:pPr>
        <w:rPr>
          <w:rFonts w:ascii="Palatino Linotype" w:hAnsi="Palatino Linotype"/>
          <w:b/>
          <w:sz w:val="20"/>
          <w:szCs w:val="20"/>
        </w:rPr>
        <w:sectPr w:rsidR="00546A55" w:rsidSect="00B4529B">
          <w:footnotePr>
            <w:pos w:val="beneathText"/>
          </w:footnotePr>
          <w:type w:val="continuous"/>
          <w:pgSz w:w="11905" w:h="16837"/>
          <w:pgMar w:top="1440" w:right="1440" w:bottom="1440" w:left="1440" w:header="720" w:footer="720" w:gutter="0"/>
          <w:pgNumType w:start="152"/>
          <w:cols w:num="2" w:space="720"/>
          <w:docGrid w:linePitch="360"/>
        </w:sectPr>
      </w:pPr>
    </w:p>
    <w:p w:rsidR="006D0854" w:rsidRPr="004E341C" w:rsidRDefault="006D0854" w:rsidP="006D0854">
      <w:pPr>
        <w:rPr>
          <w:rFonts w:ascii="Palatino Linotype" w:hAnsi="Palatino Linotype"/>
          <w:b/>
          <w:sz w:val="20"/>
          <w:szCs w:val="20"/>
        </w:rPr>
      </w:pPr>
    </w:p>
    <w:sectPr w:rsidR="006D0854" w:rsidRPr="004E341C" w:rsidSect="006B5CCB">
      <w:footnotePr>
        <w:pos w:val="beneathText"/>
      </w:footnotePr>
      <w:type w:val="continuous"/>
      <w:pgSz w:w="11905" w:h="16837"/>
      <w:pgMar w:top="1440" w:right="1440" w:bottom="1440" w:left="1440" w:header="720" w:footer="720" w:gutter="0"/>
      <w:pgNumType w:start="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32A" w:rsidRDefault="00A7732A" w:rsidP="00932256">
      <w:r>
        <w:separator/>
      </w:r>
    </w:p>
  </w:endnote>
  <w:endnote w:type="continuationSeparator" w:id="0">
    <w:p w:rsidR="00A7732A" w:rsidRDefault="00A7732A" w:rsidP="00932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atha">
    <w:panose1 w:val="02000400000000000000"/>
    <w:charset w:val="01"/>
    <w:family w:val="roman"/>
    <w:notTrueType/>
    <w:pitch w:val="variable"/>
    <w:sig w:usb0="00040000" w:usb1="00000000" w:usb2="00000000" w:usb3="00000000" w:csb0="00000000" w:csb1="00000000"/>
  </w:font>
  <w:font w:name="Palatino Linotype">
    <w:panose1 w:val="02040502050505030304"/>
    <w:charset w:val="00"/>
    <w:family w:val="roman"/>
    <w:pitch w:val="variable"/>
    <w:sig w:usb0="E00003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Linotype-Itali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312717"/>
      <w:docPartObj>
        <w:docPartGallery w:val="Page Numbers (Bottom of Page)"/>
        <w:docPartUnique/>
      </w:docPartObj>
    </w:sdtPr>
    <w:sdtContent>
      <w:p w:rsidR="001829C3" w:rsidRDefault="000543FE">
        <w:pPr>
          <w:pStyle w:val="Footer"/>
          <w:jc w:val="right"/>
        </w:pPr>
        <w:fldSimple w:instr=" PAGE   \* MERGEFORMAT ">
          <w:r w:rsidR="0063553A">
            <w:rPr>
              <w:noProof/>
            </w:rPr>
            <w:t>152</w:t>
          </w:r>
        </w:fldSimple>
      </w:p>
    </w:sdtContent>
  </w:sdt>
  <w:p w:rsidR="001829C3" w:rsidRDefault="00182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32A" w:rsidRDefault="00A7732A" w:rsidP="00932256">
      <w:r>
        <w:separator/>
      </w:r>
    </w:p>
  </w:footnote>
  <w:footnote w:type="continuationSeparator" w:id="0">
    <w:p w:rsidR="00A7732A" w:rsidRDefault="00A7732A" w:rsidP="009322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32A" w:rsidRPr="00915EF2" w:rsidRDefault="00A7732A" w:rsidP="00C80651">
    <w:pPr>
      <w:pStyle w:val="Header"/>
      <w:jc w:val="right"/>
      <w:rPr>
        <w:rFonts w:ascii="Palatino Linotype" w:hAnsi="Palatino Linotype"/>
        <w:i/>
        <w:sz w:val="18"/>
        <w:szCs w:val="18"/>
      </w:rPr>
    </w:pPr>
    <w:r>
      <w:rPr>
        <w:rFonts w:ascii="Palatino Linotype" w:hAnsi="Palatino Linotype"/>
        <w:i/>
        <w:sz w:val="18"/>
        <w:szCs w:val="18"/>
      </w:rPr>
      <w:t>Evidence Based Library and Information Practice 2011, 6.4</w:t>
    </w:r>
  </w:p>
  <w:p w:rsidR="00A7732A" w:rsidRDefault="00A773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5AE0C02"/>
    <w:multiLevelType w:val="hybridMultilevel"/>
    <w:tmpl w:val="C3681D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3D02C1"/>
    <w:multiLevelType w:val="hybridMultilevel"/>
    <w:tmpl w:val="A53EB5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footnotePr>
    <w:pos w:val="beneathText"/>
    <w:footnote w:id="-1"/>
    <w:footnote w:id="0"/>
  </w:footnotePr>
  <w:endnotePr>
    <w:endnote w:id="-1"/>
    <w:endnote w:id="0"/>
  </w:endnotePr>
  <w:compat/>
  <w:rsids>
    <w:rsidRoot w:val="00932256"/>
    <w:rsid w:val="00007810"/>
    <w:rsid w:val="000543FE"/>
    <w:rsid w:val="0005793D"/>
    <w:rsid w:val="00083587"/>
    <w:rsid w:val="00091251"/>
    <w:rsid w:val="00097A10"/>
    <w:rsid w:val="000A3FFC"/>
    <w:rsid w:val="000B6E15"/>
    <w:rsid w:val="000D7580"/>
    <w:rsid w:val="00155500"/>
    <w:rsid w:val="001562B6"/>
    <w:rsid w:val="00170E09"/>
    <w:rsid w:val="001829C3"/>
    <w:rsid w:val="00196D29"/>
    <w:rsid w:val="001D4FD3"/>
    <w:rsid w:val="00204387"/>
    <w:rsid w:val="00211970"/>
    <w:rsid w:val="00254DB8"/>
    <w:rsid w:val="00272C78"/>
    <w:rsid w:val="002A414F"/>
    <w:rsid w:val="003150AE"/>
    <w:rsid w:val="00325B0F"/>
    <w:rsid w:val="003855A2"/>
    <w:rsid w:val="00427952"/>
    <w:rsid w:val="00431ADE"/>
    <w:rsid w:val="00463C97"/>
    <w:rsid w:val="004833E5"/>
    <w:rsid w:val="00484283"/>
    <w:rsid w:val="00492224"/>
    <w:rsid w:val="00493B9B"/>
    <w:rsid w:val="004E341C"/>
    <w:rsid w:val="00546A55"/>
    <w:rsid w:val="005B00FB"/>
    <w:rsid w:val="005C14BD"/>
    <w:rsid w:val="005D591E"/>
    <w:rsid w:val="005F1CED"/>
    <w:rsid w:val="005F4DCD"/>
    <w:rsid w:val="005F7965"/>
    <w:rsid w:val="006316B5"/>
    <w:rsid w:val="0063553A"/>
    <w:rsid w:val="006649FC"/>
    <w:rsid w:val="006B5CCB"/>
    <w:rsid w:val="006D0854"/>
    <w:rsid w:val="00752E35"/>
    <w:rsid w:val="00866663"/>
    <w:rsid w:val="008A5647"/>
    <w:rsid w:val="008C07E8"/>
    <w:rsid w:val="00932256"/>
    <w:rsid w:val="00A136EF"/>
    <w:rsid w:val="00A30A69"/>
    <w:rsid w:val="00A416D8"/>
    <w:rsid w:val="00A631FA"/>
    <w:rsid w:val="00A7732A"/>
    <w:rsid w:val="00AE1EF7"/>
    <w:rsid w:val="00AE5A4C"/>
    <w:rsid w:val="00B063F5"/>
    <w:rsid w:val="00B17FA7"/>
    <w:rsid w:val="00B4529B"/>
    <w:rsid w:val="00B4582D"/>
    <w:rsid w:val="00B542DA"/>
    <w:rsid w:val="00C03278"/>
    <w:rsid w:val="00C101B0"/>
    <w:rsid w:val="00C730F9"/>
    <w:rsid w:val="00C80651"/>
    <w:rsid w:val="00CC2645"/>
    <w:rsid w:val="00CD76F2"/>
    <w:rsid w:val="00CF7EF5"/>
    <w:rsid w:val="00D0418D"/>
    <w:rsid w:val="00D339A6"/>
    <w:rsid w:val="00D67E02"/>
    <w:rsid w:val="00D73BDD"/>
    <w:rsid w:val="00D841FC"/>
    <w:rsid w:val="00DB1EC9"/>
    <w:rsid w:val="00DE15AA"/>
    <w:rsid w:val="00DF02C5"/>
    <w:rsid w:val="00DF0D34"/>
    <w:rsid w:val="00E14448"/>
    <w:rsid w:val="00E213ED"/>
    <w:rsid w:val="00E3469A"/>
    <w:rsid w:val="00E633B3"/>
    <w:rsid w:val="00E63D10"/>
    <w:rsid w:val="00E82BFF"/>
    <w:rsid w:val="00E8312A"/>
    <w:rsid w:val="00F26C97"/>
    <w:rsid w:val="00F7490C"/>
    <w:rsid w:val="00F75613"/>
    <w:rsid w:val="00F90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56"/>
    <w:rPr>
      <w:rFonts w:ascii="Times New Roman" w:eastAsia="Times New Roman" w:hAnsi="Times New Roman"/>
      <w:sz w:val="24"/>
      <w:szCs w:val="24"/>
      <w:lang w:val="en-CA"/>
    </w:rPr>
  </w:style>
  <w:style w:type="paragraph" w:styleId="Heading1">
    <w:name w:val="heading 1"/>
    <w:basedOn w:val="Normal"/>
    <w:next w:val="Normal"/>
    <w:link w:val="Heading1Char"/>
    <w:qFormat/>
    <w:rsid w:val="00932256"/>
    <w:pPr>
      <w:keepNext/>
      <w:outlineLvl w:val="0"/>
    </w:pPr>
    <w:rPr>
      <w:rFonts w:ascii="Arial" w:hAnsi="Arial" w:cs="Arial"/>
      <w:b/>
      <w:bCs/>
      <w:sz w:val="22"/>
    </w:rPr>
  </w:style>
  <w:style w:type="paragraph" w:styleId="Heading2">
    <w:name w:val="heading 2"/>
    <w:basedOn w:val="Normal"/>
    <w:next w:val="Normal"/>
    <w:link w:val="Heading2Char"/>
    <w:uiPriority w:val="9"/>
    <w:semiHidden/>
    <w:unhideWhenUsed/>
    <w:qFormat/>
    <w:rsid w:val="000912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256"/>
    <w:rPr>
      <w:rFonts w:ascii="Tahoma" w:hAnsi="Tahoma" w:cs="Tahoma"/>
      <w:sz w:val="16"/>
      <w:szCs w:val="16"/>
    </w:rPr>
  </w:style>
  <w:style w:type="character" w:customStyle="1" w:styleId="BalloonTextChar">
    <w:name w:val="Balloon Text Char"/>
    <w:basedOn w:val="DefaultParagraphFont"/>
    <w:link w:val="BalloonText"/>
    <w:uiPriority w:val="99"/>
    <w:semiHidden/>
    <w:rsid w:val="00932256"/>
    <w:rPr>
      <w:rFonts w:ascii="Tahoma" w:eastAsia="Times New Roman" w:hAnsi="Tahoma" w:cs="Tahoma"/>
      <w:sz w:val="16"/>
      <w:szCs w:val="16"/>
      <w:lang w:val="en-CA"/>
    </w:rPr>
  </w:style>
  <w:style w:type="paragraph" w:styleId="Header">
    <w:name w:val="header"/>
    <w:basedOn w:val="Normal"/>
    <w:link w:val="HeaderChar"/>
    <w:uiPriority w:val="99"/>
    <w:unhideWhenUsed/>
    <w:rsid w:val="00932256"/>
    <w:pPr>
      <w:tabs>
        <w:tab w:val="center" w:pos="4680"/>
        <w:tab w:val="right" w:pos="9360"/>
      </w:tabs>
    </w:pPr>
  </w:style>
  <w:style w:type="character" w:customStyle="1" w:styleId="HeaderChar">
    <w:name w:val="Header Char"/>
    <w:basedOn w:val="DefaultParagraphFont"/>
    <w:link w:val="Header"/>
    <w:uiPriority w:val="99"/>
    <w:rsid w:val="00932256"/>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932256"/>
    <w:pPr>
      <w:tabs>
        <w:tab w:val="center" w:pos="4680"/>
        <w:tab w:val="right" w:pos="9360"/>
      </w:tabs>
    </w:pPr>
  </w:style>
  <w:style w:type="character" w:customStyle="1" w:styleId="FooterChar">
    <w:name w:val="Footer Char"/>
    <w:basedOn w:val="DefaultParagraphFont"/>
    <w:link w:val="Footer"/>
    <w:uiPriority w:val="99"/>
    <w:rsid w:val="00932256"/>
    <w:rPr>
      <w:rFonts w:ascii="Times New Roman" w:eastAsia="Times New Roman" w:hAnsi="Times New Roman" w:cs="Times New Roman"/>
      <w:sz w:val="24"/>
      <w:szCs w:val="24"/>
      <w:lang w:val="en-CA"/>
    </w:rPr>
  </w:style>
  <w:style w:type="character" w:styleId="Hyperlink">
    <w:name w:val="Hyperlink"/>
    <w:basedOn w:val="DefaultParagraphFont"/>
    <w:rsid w:val="00932256"/>
    <w:rPr>
      <w:color w:val="0000FF"/>
      <w:u w:val="single"/>
    </w:rPr>
  </w:style>
  <w:style w:type="paragraph" w:styleId="BodyText">
    <w:name w:val="Body Text"/>
    <w:basedOn w:val="Normal"/>
    <w:link w:val="BodyTextChar"/>
    <w:uiPriority w:val="99"/>
    <w:rsid w:val="00932256"/>
    <w:pPr>
      <w:widowControl w:val="0"/>
      <w:autoSpaceDE w:val="0"/>
      <w:autoSpaceDN w:val="0"/>
      <w:adjustRightInd w:val="0"/>
    </w:pPr>
    <w:rPr>
      <w:rFonts w:ascii="Arial" w:eastAsia="Calibri" w:hAnsi="Arial" w:cs="Latha"/>
      <w:lang w:val="en-US"/>
    </w:rPr>
  </w:style>
  <w:style w:type="character" w:customStyle="1" w:styleId="BodyTextChar">
    <w:name w:val="Body Text Char"/>
    <w:basedOn w:val="DefaultParagraphFont"/>
    <w:link w:val="BodyText"/>
    <w:uiPriority w:val="99"/>
    <w:rsid w:val="00932256"/>
    <w:rPr>
      <w:rFonts w:ascii="Arial" w:eastAsia="Calibri" w:hAnsi="Arial" w:cs="Latha"/>
      <w:sz w:val="24"/>
      <w:szCs w:val="24"/>
    </w:rPr>
  </w:style>
  <w:style w:type="paragraph" w:customStyle="1" w:styleId="blockquote">
    <w:name w:val="blockquote"/>
    <w:basedOn w:val="Normal"/>
    <w:rsid w:val="00932256"/>
    <w:pPr>
      <w:spacing w:before="100" w:beforeAutospacing="1" w:after="100" w:afterAutospacing="1"/>
    </w:pPr>
    <w:rPr>
      <w:lang w:val="en-US"/>
    </w:rPr>
  </w:style>
  <w:style w:type="character" w:customStyle="1" w:styleId="Heading1Char">
    <w:name w:val="Heading 1 Char"/>
    <w:basedOn w:val="DefaultParagraphFont"/>
    <w:link w:val="Heading1"/>
    <w:rsid w:val="00932256"/>
    <w:rPr>
      <w:rFonts w:ascii="Arial" w:eastAsia="Times New Roman" w:hAnsi="Arial" w:cs="Arial"/>
      <w:b/>
      <w:bCs/>
      <w:szCs w:val="24"/>
      <w:lang w:val="en-CA"/>
    </w:rPr>
  </w:style>
  <w:style w:type="character" w:styleId="Emphasis">
    <w:name w:val="Emphasis"/>
    <w:basedOn w:val="DefaultParagraphFont"/>
    <w:qFormat/>
    <w:rsid w:val="00932256"/>
    <w:rPr>
      <w:i/>
      <w:iCs/>
    </w:rPr>
  </w:style>
  <w:style w:type="paragraph" w:customStyle="1" w:styleId="Default">
    <w:name w:val="Default"/>
    <w:rsid w:val="000A3FFC"/>
    <w:pPr>
      <w:autoSpaceDE w:val="0"/>
      <w:autoSpaceDN w:val="0"/>
      <w:adjustRightInd w:val="0"/>
    </w:pPr>
    <w:rPr>
      <w:rFonts w:ascii="Palatino Linotype" w:eastAsia="MS Mincho" w:hAnsi="Palatino Linotype" w:cs="Palatino Linotype"/>
      <w:color w:val="000000"/>
      <w:sz w:val="24"/>
      <w:szCs w:val="24"/>
      <w:lang w:val="en-CA" w:eastAsia="ja-JP"/>
    </w:rPr>
  </w:style>
  <w:style w:type="paragraph" w:customStyle="1" w:styleId="WW-Default">
    <w:name w:val="WW-Default"/>
    <w:rsid w:val="00091251"/>
    <w:pPr>
      <w:suppressAutoHyphens/>
      <w:autoSpaceDE w:val="0"/>
    </w:pPr>
    <w:rPr>
      <w:rFonts w:ascii="Palatino Linotype" w:eastAsia="MS Mincho" w:hAnsi="Palatino Linotype" w:cs="Palatino Linotype"/>
      <w:color w:val="000000"/>
      <w:sz w:val="24"/>
      <w:szCs w:val="24"/>
      <w:lang w:val="en-GB" w:eastAsia="ar-SA"/>
    </w:rPr>
  </w:style>
  <w:style w:type="character" w:customStyle="1" w:styleId="Heading2Char">
    <w:name w:val="Heading 2 Char"/>
    <w:basedOn w:val="DefaultParagraphFont"/>
    <w:link w:val="Heading2"/>
    <w:uiPriority w:val="9"/>
    <w:semiHidden/>
    <w:rsid w:val="00091251"/>
    <w:rPr>
      <w:rFonts w:asciiTheme="majorHAnsi" w:eastAsiaTheme="majorEastAsia" w:hAnsiTheme="majorHAnsi" w:cstheme="majorBidi"/>
      <w:b/>
      <w:bCs/>
      <w:color w:val="4F81BD" w:themeColor="accent1"/>
      <w:sz w:val="26"/>
      <w:szCs w:val="26"/>
      <w:lang w:val="en-CA"/>
    </w:rPr>
  </w:style>
  <w:style w:type="character" w:customStyle="1" w:styleId="apple-style-span">
    <w:name w:val="apple-style-span"/>
    <w:basedOn w:val="DefaultParagraphFont"/>
    <w:rsid w:val="00091251"/>
  </w:style>
  <w:style w:type="character" w:styleId="Strong">
    <w:name w:val="Strong"/>
    <w:basedOn w:val="DefaultParagraphFont"/>
    <w:qFormat/>
    <w:rsid w:val="00091251"/>
    <w:rPr>
      <w:b/>
      <w:bCs/>
    </w:rPr>
  </w:style>
  <w:style w:type="character" w:styleId="CommentReference">
    <w:name w:val="annotation reference"/>
    <w:basedOn w:val="DefaultParagraphFont"/>
    <w:rsid w:val="00091251"/>
    <w:rPr>
      <w:sz w:val="16"/>
      <w:szCs w:val="16"/>
    </w:rPr>
  </w:style>
  <w:style w:type="character" w:customStyle="1" w:styleId="Heading2Main">
    <w:name w:val="Heading 2 Main"/>
    <w:rsid w:val="006B5CCB"/>
    <w:rPr>
      <w:rFonts w:ascii="Arial" w:eastAsia="Arial" w:hAnsi="Arial"/>
      <w:b/>
      <w:i w:val="0"/>
      <w:color w:val="000000"/>
      <w:sz w:val="24"/>
      <w:u w:color="000000"/>
    </w:rPr>
  </w:style>
  <w:style w:type="paragraph" w:styleId="CommentText">
    <w:name w:val="annotation text"/>
    <w:basedOn w:val="Normal"/>
    <w:link w:val="CommentTextChar"/>
    <w:uiPriority w:val="99"/>
    <w:semiHidden/>
    <w:unhideWhenUsed/>
    <w:rsid w:val="00A7732A"/>
  </w:style>
  <w:style w:type="character" w:customStyle="1" w:styleId="CommentTextChar">
    <w:name w:val="Comment Text Char"/>
    <w:basedOn w:val="DefaultParagraphFont"/>
    <w:link w:val="CommentText"/>
    <w:uiPriority w:val="99"/>
    <w:semiHidden/>
    <w:rsid w:val="00A7732A"/>
    <w:rPr>
      <w:rFonts w:ascii="Times New Roman" w:eastAsia="Times New Roman" w:hAnsi="Times New Roman"/>
      <w:sz w:val="24"/>
      <w:szCs w:val="24"/>
      <w:lang w:val="en-CA"/>
    </w:rPr>
  </w:style>
  <w:style w:type="paragraph" w:styleId="CommentSubject">
    <w:name w:val="annotation subject"/>
    <w:basedOn w:val="CommentText"/>
    <w:next w:val="CommentText"/>
    <w:link w:val="CommentSubjectChar"/>
    <w:uiPriority w:val="99"/>
    <w:semiHidden/>
    <w:unhideWhenUsed/>
    <w:rsid w:val="00A7732A"/>
    <w:rPr>
      <w:b/>
      <w:bCs/>
      <w:sz w:val="20"/>
      <w:szCs w:val="20"/>
    </w:rPr>
  </w:style>
  <w:style w:type="character" w:customStyle="1" w:styleId="CommentSubjectChar">
    <w:name w:val="Comment Subject Char"/>
    <w:basedOn w:val="CommentTextChar"/>
    <w:link w:val="CommentSubject"/>
    <w:uiPriority w:val="99"/>
    <w:semiHidden/>
    <w:rsid w:val="00A7732A"/>
    <w:rPr>
      <w:b/>
      <w:bCs/>
    </w:rPr>
  </w:style>
</w:styles>
</file>

<file path=word/webSettings.xml><?xml version="1.0" encoding="utf-8"?>
<w:webSettings xmlns:r="http://schemas.openxmlformats.org/officeDocument/2006/relationships" xmlns:w="http://schemas.openxmlformats.org/wordprocessingml/2006/main">
  <w:divs>
    <w:div w:id="67561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owe@immaculata.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8536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Evidence Based Library and Information Practice   </vt:lpstr>
    </vt:vector>
  </TitlesOfParts>
  <Company>Artist</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Based Library and Information Practice</dc:title>
  <dc:creator>Chris Flodberg</dc:creator>
  <cp:lastModifiedBy>training</cp:lastModifiedBy>
  <cp:revision>7</cp:revision>
  <dcterms:created xsi:type="dcterms:W3CDTF">2011-12-01T14:18:00Z</dcterms:created>
  <dcterms:modified xsi:type="dcterms:W3CDTF">2011-12-15T17:16:00Z</dcterms:modified>
</cp:coreProperties>
</file>