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A882E" w14:textId="15EED6A5" w:rsidR="00F42C67" w:rsidRPr="00F0715C" w:rsidRDefault="00F42C67" w:rsidP="00D7469F">
      <w:pPr>
        <w:shd w:val="clear" w:color="auto" w:fill="FFFFFF"/>
        <w:spacing w:before="100" w:beforeAutospacing="1" w:after="100" w:afterAutospacing="1"/>
        <w:contextualSpacing/>
        <w:rPr>
          <w:rFonts w:ascii="Garamond" w:hAnsi="Garamond"/>
          <w:b/>
          <w:bCs/>
          <w:color w:val="222222"/>
          <w:sz w:val="28"/>
          <w:szCs w:val="28"/>
        </w:rPr>
      </w:pPr>
      <w:r w:rsidRPr="00045946">
        <w:rPr>
          <w:rFonts w:ascii="Garamond" w:hAnsi="Garamond"/>
          <w:b/>
          <w:bCs/>
          <w:color w:val="222222"/>
          <w:sz w:val="28"/>
          <w:szCs w:val="28"/>
        </w:rPr>
        <w:t>Negotiating binary conceptions of sex/gender in a multi-gender world</w:t>
      </w:r>
      <w:r w:rsidR="00F54540" w:rsidRPr="00045946">
        <w:rPr>
          <w:rFonts w:ascii="Garamond" w:hAnsi="Garamond"/>
          <w:b/>
          <w:bCs/>
          <w:color w:val="222222"/>
          <w:sz w:val="28"/>
          <w:szCs w:val="28"/>
        </w:rPr>
        <w:t>:</w:t>
      </w:r>
      <w:r w:rsidR="007F4746">
        <w:rPr>
          <w:rFonts w:ascii="Garamond" w:hAnsi="Garamond"/>
          <w:b/>
          <w:bCs/>
          <w:color w:val="222222"/>
          <w:sz w:val="28"/>
          <w:szCs w:val="28"/>
        </w:rPr>
        <w:t xml:space="preserve"> Response to </w:t>
      </w:r>
      <w:r w:rsidR="007F4746" w:rsidRPr="00F0715C">
        <w:rPr>
          <w:rFonts w:ascii="Garamond" w:hAnsi="Garamond"/>
          <w:b/>
          <w:bCs/>
          <w:color w:val="222222"/>
          <w:sz w:val="28"/>
          <w:szCs w:val="28"/>
        </w:rPr>
        <w:t>‘</w:t>
      </w:r>
      <w:r w:rsidRPr="00F0715C">
        <w:rPr>
          <w:rFonts w:ascii="Garamond" w:hAnsi="Garamond"/>
          <w:b/>
          <w:bCs/>
          <w:color w:val="222222"/>
          <w:sz w:val="28"/>
          <w:szCs w:val="28"/>
          <w:lang w:val="en-GB"/>
        </w:rPr>
        <w:t xml:space="preserve">The challenge of same-sex provision: </w:t>
      </w:r>
      <w:r w:rsidRPr="00F0715C">
        <w:rPr>
          <w:rFonts w:ascii="Garamond" w:hAnsi="Garamond"/>
          <w:b/>
          <w:bCs/>
          <w:color w:val="222222"/>
          <w:sz w:val="28"/>
          <w:szCs w:val="28"/>
        </w:rPr>
        <w:t>How many g</w:t>
      </w:r>
      <w:r w:rsidR="007F4746" w:rsidRPr="00F0715C">
        <w:rPr>
          <w:rFonts w:ascii="Garamond" w:hAnsi="Garamond"/>
          <w:b/>
          <w:bCs/>
          <w:color w:val="222222"/>
          <w:sz w:val="28"/>
          <w:szCs w:val="28"/>
        </w:rPr>
        <w:t>irls does a girls’ school need?’</w:t>
      </w:r>
    </w:p>
    <w:p w14:paraId="013D131A" w14:textId="77777777" w:rsidR="00F42C67" w:rsidRPr="00045946" w:rsidRDefault="00F42C67" w:rsidP="00045946">
      <w:pPr>
        <w:shd w:val="clear" w:color="auto" w:fill="FFFFFF"/>
        <w:spacing w:before="100" w:beforeAutospacing="1" w:after="100" w:afterAutospacing="1" w:line="480" w:lineRule="auto"/>
        <w:contextualSpacing/>
        <w:rPr>
          <w:rFonts w:ascii="Garamond" w:hAnsi="Garamond"/>
          <w:color w:val="222222"/>
        </w:rPr>
      </w:pPr>
    </w:p>
    <w:p w14:paraId="6364D936" w14:textId="3A345BCC" w:rsidR="00520E4D" w:rsidRPr="00045946" w:rsidRDefault="00520E4D" w:rsidP="00045946">
      <w:pPr>
        <w:shd w:val="clear" w:color="auto" w:fill="FFFFFF"/>
        <w:spacing w:before="100" w:beforeAutospacing="1" w:after="100" w:afterAutospacing="1" w:line="480" w:lineRule="auto"/>
        <w:contextualSpacing/>
        <w:rPr>
          <w:rFonts w:ascii="Garamond" w:hAnsi="Garamond"/>
          <w:b/>
          <w:iCs/>
          <w:color w:val="222222"/>
        </w:rPr>
      </w:pPr>
      <w:r w:rsidRPr="00045946">
        <w:rPr>
          <w:rFonts w:ascii="Garamond" w:hAnsi="Garamond"/>
          <w:b/>
          <w:iCs/>
          <w:color w:val="222222"/>
        </w:rPr>
        <w:t>C.L. Quinan</w:t>
      </w:r>
      <w:r w:rsidR="00D7469F">
        <w:rPr>
          <w:rStyle w:val="FootnoteReference"/>
          <w:rFonts w:ascii="Garamond" w:hAnsi="Garamond"/>
          <w:b/>
          <w:iCs/>
          <w:color w:val="222222"/>
        </w:rPr>
        <w:footnoteReference w:customMarkFollows="1" w:id="1"/>
        <w:t>*</w:t>
      </w:r>
    </w:p>
    <w:p w14:paraId="76CE7B0A" w14:textId="620B74F9" w:rsidR="00520E4D" w:rsidRDefault="00520E4D" w:rsidP="00045946">
      <w:pPr>
        <w:shd w:val="clear" w:color="auto" w:fill="FFFFFF"/>
        <w:spacing w:before="100" w:beforeAutospacing="1" w:after="100" w:afterAutospacing="1" w:line="480" w:lineRule="auto"/>
        <w:contextualSpacing/>
        <w:rPr>
          <w:rFonts w:ascii="Garamond" w:hAnsi="Garamond"/>
          <w:color w:val="222222"/>
        </w:rPr>
      </w:pPr>
    </w:p>
    <w:p w14:paraId="6C93557D" w14:textId="27FD30BB" w:rsidR="00B1155C" w:rsidRPr="00D7469F" w:rsidRDefault="00B1155C" w:rsidP="00D7469F">
      <w:pPr>
        <w:pStyle w:val="Heading2"/>
      </w:pPr>
      <w:r w:rsidRPr="00D7469F">
        <w:t>Introduction</w:t>
      </w:r>
    </w:p>
    <w:p w14:paraId="0206B4A2" w14:textId="79F06EB1" w:rsidR="00D44570" w:rsidRPr="00045946" w:rsidRDefault="00D44570" w:rsidP="00D7469F">
      <w:pPr>
        <w:shd w:val="clear" w:color="auto" w:fill="FFFFFF"/>
        <w:spacing w:line="480" w:lineRule="auto"/>
        <w:contextualSpacing/>
        <w:rPr>
          <w:rFonts w:ascii="Garamond" w:hAnsi="Garamond"/>
          <w:b/>
          <w:color w:val="222222"/>
          <w:lang w:val="en-GB"/>
        </w:rPr>
      </w:pPr>
      <w:r w:rsidRPr="00045946">
        <w:rPr>
          <w:rFonts w:ascii="Garamond" w:hAnsi="Garamond"/>
          <w:color w:val="222222"/>
        </w:rPr>
        <w:t>In “</w:t>
      </w:r>
      <w:r w:rsidRPr="00045946">
        <w:rPr>
          <w:rFonts w:ascii="Garamond" w:hAnsi="Garamond"/>
          <w:color w:val="222222"/>
          <w:lang w:val="en-GB"/>
        </w:rPr>
        <w:t xml:space="preserve">The challenge of same-sex provision: </w:t>
      </w:r>
      <w:r w:rsidRPr="00045946">
        <w:rPr>
          <w:rFonts w:ascii="Garamond" w:hAnsi="Garamond"/>
          <w:color w:val="222222"/>
        </w:rPr>
        <w:t xml:space="preserve">How many girls does a girls’ school need?” Flora Renz offers prescient </w:t>
      </w:r>
      <w:r w:rsidR="00F53E05" w:rsidRPr="00045946">
        <w:rPr>
          <w:rFonts w:ascii="Garamond" w:hAnsi="Garamond"/>
          <w:color w:val="222222"/>
        </w:rPr>
        <w:t xml:space="preserve">commentary on the role </w:t>
      </w:r>
      <w:r w:rsidR="006355F0" w:rsidRPr="00045946">
        <w:rPr>
          <w:rFonts w:ascii="Garamond" w:hAnsi="Garamond"/>
          <w:color w:val="222222"/>
        </w:rPr>
        <w:t>that</w:t>
      </w:r>
      <w:r w:rsidR="00F53E05" w:rsidRPr="00045946">
        <w:rPr>
          <w:rFonts w:ascii="Garamond" w:hAnsi="Garamond"/>
          <w:color w:val="222222"/>
        </w:rPr>
        <w:t xml:space="preserve"> institutions</w:t>
      </w:r>
      <w:r w:rsidR="00733E8A" w:rsidRPr="00045946">
        <w:rPr>
          <w:rFonts w:ascii="Garamond" w:hAnsi="Garamond"/>
          <w:color w:val="222222"/>
        </w:rPr>
        <w:t xml:space="preserve"> – </w:t>
      </w:r>
      <w:r w:rsidR="006355F0" w:rsidRPr="00045946">
        <w:rPr>
          <w:rFonts w:ascii="Garamond" w:hAnsi="Garamond"/>
          <w:color w:val="222222"/>
        </w:rPr>
        <w:t>single-sex and otherwise</w:t>
      </w:r>
      <w:r w:rsidR="00733E8A" w:rsidRPr="00045946">
        <w:rPr>
          <w:rFonts w:ascii="Garamond" w:hAnsi="Garamond"/>
          <w:color w:val="222222"/>
        </w:rPr>
        <w:t xml:space="preserve"> – </w:t>
      </w:r>
      <w:r w:rsidR="006355F0" w:rsidRPr="00045946">
        <w:rPr>
          <w:rFonts w:ascii="Garamond" w:hAnsi="Garamond"/>
          <w:color w:val="222222"/>
        </w:rPr>
        <w:t xml:space="preserve">play in </w:t>
      </w:r>
      <w:r w:rsidR="002F5DDB" w:rsidRPr="00045946">
        <w:rPr>
          <w:rFonts w:ascii="Garamond" w:hAnsi="Garamond"/>
          <w:color w:val="222222"/>
        </w:rPr>
        <w:t xml:space="preserve">contesting </w:t>
      </w:r>
      <w:r w:rsidR="006355F0" w:rsidRPr="00045946">
        <w:rPr>
          <w:rFonts w:ascii="Garamond" w:hAnsi="Garamond"/>
        </w:rPr>
        <w:t>binary conceptions of sex</w:t>
      </w:r>
      <w:r w:rsidR="00A757D6" w:rsidRPr="00045946">
        <w:rPr>
          <w:rFonts w:ascii="Garamond" w:hAnsi="Garamond"/>
        </w:rPr>
        <w:t xml:space="preserve"> and </w:t>
      </w:r>
      <w:r w:rsidR="006355F0" w:rsidRPr="00045946">
        <w:rPr>
          <w:rFonts w:ascii="Garamond" w:hAnsi="Garamond"/>
        </w:rPr>
        <w:t>gender in a multi-gender world</w:t>
      </w:r>
      <w:r w:rsidR="00F53E05" w:rsidRPr="00045946">
        <w:rPr>
          <w:rFonts w:ascii="Garamond" w:hAnsi="Garamond"/>
          <w:color w:val="222222"/>
        </w:rPr>
        <w:t xml:space="preserve">. </w:t>
      </w:r>
      <w:r w:rsidRPr="00045946">
        <w:rPr>
          <w:rFonts w:ascii="Garamond" w:hAnsi="Garamond"/>
        </w:rPr>
        <w:t>In the context of single-sex services broadly and single-sex education specifically, th</w:t>
      </w:r>
      <w:r w:rsidR="00387FE8" w:rsidRPr="00045946">
        <w:rPr>
          <w:rFonts w:ascii="Garamond" w:hAnsi="Garamond"/>
        </w:rPr>
        <w:t>e</w:t>
      </w:r>
      <w:r w:rsidRPr="00045946">
        <w:rPr>
          <w:rFonts w:ascii="Garamond" w:hAnsi="Garamond"/>
        </w:rPr>
        <w:t xml:space="preserve"> paper </w:t>
      </w:r>
      <w:r w:rsidRPr="00045946">
        <w:rPr>
          <w:rFonts w:ascii="Garamond" w:hAnsi="Garamond"/>
          <w:color w:val="000000"/>
        </w:rPr>
        <w:t>interrogates existing aims of and challenges to gender differentiation</w:t>
      </w:r>
      <w:r w:rsidR="00A757D6" w:rsidRPr="00045946">
        <w:rPr>
          <w:rFonts w:ascii="Garamond" w:hAnsi="Garamond"/>
          <w:color w:val="000000"/>
        </w:rPr>
        <w:t xml:space="preserve"> while</w:t>
      </w:r>
      <w:r w:rsidRPr="00045946">
        <w:rPr>
          <w:rFonts w:ascii="Garamond" w:hAnsi="Garamond"/>
          <w:color w:val="000000"/>
        </w:rPr>
        <w:t xml:space="preserve"> also rais</w:t>
      </w:r>
      <w:r w:rsidR="00A757D6" w:rsidRPr="00045946">
        <w:rPr>
          <w:rFonts w:ascii="Garamond" w:hAnsi="Garamond"/>
          <w:color w:val="000000"/>
        </w:rPr>
        <w:t>ing</w:t>
      </w:r>
      <w:r w:rsidRPr="00045946">
        <w:rPr>
          <w:rFonts w:ascii="Garamond" w:hAnsi="Garamond"/>
          <w:color w:val="000000"/>
        </w:rPr>
        <w:t xml:space="preserve"> the question of the extent to which recent </w:t>
      </w:r>
      <w:r w:rsidR="00A757D6" w:rsidRPr="00045946">
        <w:rPr>
          <w:rFonts w:ascii="Garamond" w:hAnsi="Garamond"/>
          <w:color w:val="000000"/>
        </w:rPr>
        <w:t>developments in the realm</w:t>
      </w:r>
      <w:r w:rsidRPr="00045946">
        <w:rPr>
          <w:rFonts w:ascii="Garamond" w:hAnsi="Garamond"/>
          <w:color w:val="000000"/>
        </w:rPr>
        <w:t xml:space="preserve"> </w:t>
      </w:r>
      <w:r w:rsidR="00A757D6" w:rsidRPr="00045946">
        <w:rPr>
          <w:rFonts w:ascii="Garamond" w:hAnsi="Garamond"/>
          <w:color w:val="000000"/>
        </w:rPr>
        <w:t>of</w:t>
      </w:r>
      <w:r w:rsidRPr="00045946">
        <w:rPr>
          <w:rFonts w:ascii="Garamond" w:hAnsi="Garamond"/>
          <w:color w:val="000000"/>
        </w:rPr>
        <w:t xml:space="preserve"> legal gender could challenge wider gender norms</w:t>
      </w:r>
      <w:r w:rsidR="00733E8A" w:rsidRPr="00045946">
        <w:rPr>
          <w:rFonts w:ascii="Garamond" w:hAnsi="Garamond"/>
          <w:color w:val="000000"/>
        </w:rPr>
        <w:t xml:space="preserve"> – </w:t>
      </w:r>
      <w:r w:rsidRPr="00045946">
        <w:rPr>
          <w:rFonts w:ascii="Garamond" w:hAnsi="Garamond"/>
          <w:color w:val="000000"/>
        </w:rPr>
        <w:t xml:space="preserve">or </w:t>
      </w:r>
      <w:r w:rsidR="00387FE8" w:rsidRPr="00045946">
        <w:rPr>
          <w:rFonts w:ascii="Garamond" w:hAnsi="Garamond"/>
          <w:color w:val="000000"/>
        </w:rPr>
        <w:t>whether</w:t>
      </w:r>
      <w:r w:rsidR="002F5DDB" w:rsidRPr="00045946">
        <w:rPr>
          <w:rFonts w:ascii="Garamond" w:hAnsi="Garamond"/>
          <w:color w:val="000000"/>
        </w:rPr>
        <w:t xml:space="preserve"> instead</w:t>
      </w:r>
      <w:r w:rsidRPr="00045946">
        <w:rPr>
          <w:rFonts w:ascii="Garamond" w:hAnsi="Garamond"/>
          <w:color w:val="000000"/>
        </w:rPr>
        <w:t xml:space="preserve"> power structures become further solidified in this process.</w:t>
      </w:r>
      <w:r w:rsidRPr="00045946">
        <w:rPr>
          <w:rFonts w:ascii="Garamond" w:hAnsi="Garamond"/>
        </w:rPr>
        <w:t xml:space="preserve"> </w:t>
      </w:r>
      <w:r w:rsidRPr="00045946">
        <w:rPr>
          <w:rFonts w:ascii="Garamond" w:hAnsi="Garamond"/>
          <w:color w:val="000000"/>
        </w:rPr>
        <w:t>The case study of girls’ schools who have negotiated the presence of trans and non-binary students offers insight into what tensions may emerge in this area if broader changes to legal gender were enacted</w:t>
      </w:r>
      <w:r w:rsidR="00A757D6" w:rsidRPr="00045946">
        <w:rPr>
          <w:rFonts w:ascii="Garamond" w:hAnsi="Garamond"/>
          <w:color w:val="000000"/>
        </w:rPr>
        <w:t xml:space="preserve"> in England and Wales</w:t>
      </w:r>
      <w:r w:rsidRPr="00045946">
        <w:rPr>
          <w:rFonts w:ascii="Garamond" w:hAnsi="Garamond"/>
          <w:color w:val="000000"/>
        </w:rPr>
        <w:t xml:space="preserve">. </w:t>
      </w:r>
      <w:r w:rsidR="00A757D6" w:rsidRPr="00045946">
        <w:rPr>
          <w:rFonts w:ascii="Garamond" w:hAnsi="Garamond"/>
          <w:color w:val="000000"/>
        </w:rPr>
        <w:t xml:space="preserve">While the </w:t>
      </w:r>
      <w:r w:rsidR="00A757D6" w:rsidRPr="00045946">
        <w:rPr>
          <w:rFonts w:ascii="Garamond" w:hAnsi="Garamond"/>
          <w:color w:val="222222"/>
        </w:rPr>
        <w:t xml:space="preserve">Future of Legal Gender project </w:t>
      </w:r>
      <w:r w:rsidR="00A757D6" w:rsidRPr="00045946">
        <w:rPr>
          <w:rFonts w:ascii="Garamond" w:hAnsi="Garamond"/>
          <w:color w:val="000000"/>
        </w:rPr>
        <w:t xml:space="preserve">is invested in tracing how </w:t>
      </w:r>
      <w:r w:rsidR="00A757D6" w:rsidRPr="00045946">
        <w:rPr>
          <w:rFonts w:ascii="Garamond" w:hAnsi="Garamond"/>
          <w:color w:val="000000"/>
          <w:lang w:val="en-GB"/>
        </w:rPr>
        <w:t xml:space="preserve">potential changes to the existing framework for assigning and recognising legal gender would impact </w:t>
      </w:r>
      <w:r w:rsidR="00387FE8" w:rsidRPr="00045946">
        <w:rPr>
          <w:rFonts w:ascii="Garamond" w:hAnsi="Garamond"/>
          <w:color w:val="000000"/>
          <w:lang w:val="en-GB"/>
        </w:rPr>
        <w:t>all people</w:t>
      </w:r>
      <w:r w:rsidR="00A757D6" w:rsidRPr="00045946">
        <w:rPr>
          <w:rFonts w:ascii="Garamond" w:hAnsi="Garamond"/>
          <w:color w:val="000000"/>
          <w:lang w:val="en-GB"/>
        </w:rPr>
        <w:t xml:space="preserve"> (not only trans and non-binary people)</w:t>
      </w:r>
      <w:r w:rsidR="00A757D6" w:rsidRPr="00045946">
        <w:rPr>
          <w:rFonts w:ascii="Garamond" w:hAnsi="Garamond"/>
        </w:rPr>
        <w:t xml:space="preserve">, </w:t>
      </w:r>
      <w:r w:rsidR="00A757D6" w:rsidRPr="00045946">
        <w:rPr>
          <w:rFonts w:ascii="Garamond" w:hAnsi="Garamond"/>
          <w:color w:val="000000"/>
        </w:rPr>
        <w:t>Renz’s</w:t>
      </w:r>
      <w:r w:rsidRPr="00045946">
        <w:rPr>
          <w:rFonts w:ascii="Garamond" w:hAnsi="Garamond"/>
          <w:color w:val="000000"/>
        </w:rPr>
        <w:t xml:space="preserve"> </w:t>
      </w:r>
      <w:r w:rsidR="00A757D6" w:rsidRPr="00045946">
        <w:rPr>
          <w:rFonts w:ascii="Garamond" w:hAnsi="Garamond"/>
          <w:color w:val="000000"/>
        </w:rPr>
        <w:t xml:space="preserve">examination </w:t>
      </w:r>
      <w:r w:rsidRPr="00045946">
        <w:rPr>
          <w:rFonts w:ascii="Garamond" w:hAnsi="Garamond"/>
          <w:color w:val="000000"/>
        </w:rPr>
        <w:t>provides a</w:t>
      </w:r>
      <w:r w:rsidR="00A757D6" w:rsidRPr="00045946">
        <w:rPr>
          <w:rFonts w:ascii="Garamond" w:hAnsi="Garamond"/>
          <w:color w:val="000000"/>
        </w:rPr>
        <w:t xml:space="preserve"> preliminary</w:t>
      </w:r>
      <w:r w:rsidRPr="00045946">
        <w:rPr>
          <w:rFonts w:ascii="Garamond" w:hAnsi="Garamond"/>
          <w:color w:val="000000"/>
        </w:rPr>
        <w:t xml:space="preserve"> understanding of the effects </w:t>
      </w:r>
      <w:r w:rsidR="00A757D6" w:rsidRPr="00045946">
        <w:rPr>
          <w:rFonts w:ascii="Garamond" w:hAnsi="Garamond"/>
          <w:color w:val="000000"/>
        </w:rPr>
        <w:t>of</w:t>
      </w:r>
      <w:r w:rsidRPr="00045946">
        <w:rPr>
          <w:rFonts w:ascii="Garamond" w:hAnsi="Garamond"/>
          <w:color w:val="000000"/>
        </w:rPr>
        <w:t xml:space="preserve"> </w:t>
      </w:r>
      <w:r w:rsidR="00A757D6" w:rsidRPr="00045946">
        <w:rPr>
          <w:rFonts w:ascii="Garamond" w:hAnsi="Garamond"/>
          <w:color w:val="000000"/>
        </w:rPr>
        <w:t xml:space="preserve">accommodations for gender-diverse populations, with </w:t>
      </w:r>
      <w:r w:rsidRPr="00045946">
        <w:rPr>
          <w:rFonts w:ascii="Garamond" w:hAnsi="Garamond"/>
          <w:color w:val="000000"/>
        </w:rPr>
        <w:t xml:space="preserve">data </w:t>
      </w:r>
      <w:r w:rsidR="002F5DDB" w:rsidRPr="00045946">
        <w:rPr>
          <w:rFonts w:ascii="Garamond" w:hAnsi="Garamond"/>
          <w:color w:val="000000"/>
        </w:rPr>
        <w:t xml:space="preserve">gathered from interviews </w:t>
      </w:r>
      <w:r w:rsidR="00A757D6" w:rsidRPr="00045946">
        <w:rPr>
          <w:rFonts w:ascii="Garamond" w:hAnsi="Garamond"/>
          <w:color w:val="000000"/>
        </w:rPr>
        <w:t>suggesting</w:t>
      </w:r>
      <w:r w:rsidRPr="00045946">
        <w:rPr>
          <w:rFonts w:ascii="Garamond" w:hAnsi="Garamond"/>
          <w:color w:val="000000"/>
        </w:rPr>
        <w:t xml:space="preserve"> that trans </w:t>
      </w:r>
      <w:r w:rsidR="00A757D6" w:rsidRPr="00045946">
        <w:rPr>
          <w:rFonts w:ascii="Garamond" w:hAnsi="Garamond"/>
          <w:color w:val="000000"/>
        </w:rPr>
        <w:t>students</w:t>
      </w:r>
      <w:r w:rsidRPr="00045946">
        <w:rPr>
          <w:rFonts w:ascii="Garamond" w:hAnsi="Garamond"/>
          <w:color w:val="000000"/>
        </w:rPr>
        <w:t xml:space="preserve"> will not be barred from single-sex schools (or at least girls’ schools). </w:t>
      </w:r>
      <w:r w:rsidR="00A757D6" w:rsidRPr="00045946">
        <w:rPr>
          <w:rFonts w:ascii="Garamond" w:hAnsi="Garamond"/>
          <w:color w:val="222222"/>
        </w:rPr>
        <w:t xml:space="preserve">Indeed, these schools have been able to </w:t>
      </w:r>
      <w:r w:rsidR="00387FE8" w:rsidRPr="00045946">
        <w:rPr>
          <w:rFonts w:ascii="Garamond" w:hAnsi="Garamond"/>
          <w:color w:val="222222"/>
        </w:rPr>
        <w:t>grapple with</w:t>
      </w:r>
      <w:r w:rsidR="00A757D6" w:rsidRPr="00045946">
        <w:rPr>
          <w:rFonts w:ascii="Garamond" w:hAnsi="Garamond"/>
          <w:color w:val="222222"/>
        </w:rPr>
        <w:t xml:space="preserve"> their own mandate of single-sex education in a changing gender landscape.</w:t>
      </w:r>
    </w:p>
    <w:p w14:paraId="67888ABA" w14:textId="0E5997DB" w:rsidR="00F42C67" w:rsidRPr="00045946" w:rsidRDefault="00387FE8" w:rsidP="00045946">
      <w:pPr>
        <w:shd w:val="clear" w:color="auto" w:fill="FFFFFF"/>
        <w:spacing w:before="100" w:beforeAutospacing="1" w:after="100" w:afterAutospacing="1" w:line="480" w:lineRule="auto"/>
        <w:ind w:firstLine="720"/>
        <w:contextualSpacing/>
        <w:rPr>
          <w:rFonts w:ascii="Garamond" w:hAnsi="Garamond"/>
          <w:b/>
          <w:color w:val="222222"/>
          <w:lang w:val="en-GB"/>
        </w:rPr>
      </w:pPr>
      <w:r w:rsidRPr="00045946">
        <w:rPr>
          <w:rFonts w:ascii="Garamond" w:hAnsi="Garamond"/>
          <w:color w:val="222222"/>
        </w:rPr>
        <w:lastRenderedPageBreak/>
        <w:t>Renz’s</w:t>
      </w:r>
      <w:r w:rsidR="00014D03" w:rsidRPr="00045946">
        <w:rPr>
          <w:rFonts w:ascii="Garamond" w:hAnsi="Garamond"/>
          <w:color w:val="222222"/>
        </w:rPr>
        <w:t xml:space="preserve"> paper</w:t>
      </w:r>
      <w:r w:rsidR="00F91029" w:rsidRPr="00045946">
        <w:rPr>
          <w:rFonts w:ascii="Garamond" w:hAnsi="Garamond"/>
          <w:color w:val="222222"/>
        </w:rPr>
        <w:t xml:space="preserve"> also asks if </w:t>
      </w:r>
      <w:r w:rsidR="00F91029" w:rsidRPr="00045946">
        <w:rPr>
          <w:rFonts w:ascii="Garamond" w:hAnsi="Garamond"/>
        </w:rPr>
        <w:t>single-sex education, and specifically female single-sex education, has an inherent value that is different to that of mixed education</w:t>
      </w:r>
      <w:r w:rsidR="00F42C67" w:rsidRPr="00045946">
        <w:rPr>
          <w:rFonts w:ascii="Garamond" w:hAnsi="Garamond"/>
          <w:color w:val="222222"/>
        </w:rPr>
        <w:t>. This is not a question</w:t>
      </w:r>
      <w:r w:rsidR="00EA53B4" w:rsidRPr="00045946">
        <w:rPr>
          <w:rFonts w:ascii="Garamond" w:hAnsi="Garamond"/>
          <w:color w:val="222222"/>
        </w:rPr>
        <w:t xml:space="preserve"> about</w:t>
      </w:r>
      <w:r w:rsidR="00F42C67" w:rsidRPr="00045946">
        <w:rPr>
          <w:rFonts w:ascii="Garamond" w:hAnsi="Garamond"/>
          <w:color w:val="222222"/>
        </w:rPr>
        <w:t xml:space="preserve"> </w:t>
      </w:r>
      <w:r w:rsidR="00B17CAD">
        <w:rPr>
          <w:rFonts w:ascii="Garamond" w:hAnsi="Garamond"/>
          <w:color w:val="222222"/>
        </w:rPr>
        <w:t xml:space="preserve">whether </w:t>
      </w:r>
      <w:r w:rsidR="00EA53B4" w:rsidRPr="00045946">
        <w:rPr>
          <w:rFonts w:ascii="Garamond" w:hAnsi="Garamond"/>
          <w:color w:val="222222"/>
        </w:rPr>
        <w:t xml:space="preserve">girls’ schools </w:t>
      </w:r>
      <w:r w:rsidR="00B17CAD">
        <w:rPr>
          <w:rFonts w:ascii="Garamond" w:hAnsi="Garamond"/>
          <w:color w:val="222222"/>
        </w:rPr>
        <w:t xml:space="preserve">should </w:t>
      </w:r>
      <w:r w:rsidR="00EA53B4" w:rsidRPr="00045946">
        <w:rPr>
          <w:rFonts w:ascii="Garamond" w:hAnsi="Garamond"/>
          <w:color w:val="222222"/>
        </w:rPr>
        <w:t>exist</w:t>
      </w:r>
      <w:r w:rsidR="00F42C67" w:rsidRPr="00045946">
        <w:rPr>
          <w:rFonts w:ascii="Garamond" w:hAnsi="Garamond"/>
          <w:color w:val="222222"/>
        </w:rPr>
        <w:t>,</w:t>
      </w:r>
      <w:r w:rsidR="00EA53B4" w:rsidRPr="00045946">
        <w:rPr>
          <w:rFonts w:ascii="Garamond" w:hAnsi="Garamond"/>
          <w:color w:val="222222"/>
        </w:rPr>
        <w:t xml:space="preserve"> </w:t>
      </w:r>
      <w:r w:rsidR="00F42C67" w:rsidRPr="00045946">
        <w:rPr>
          <w:rFonts w:ascii="Garamond" w:hAnsi="Garamond"/>
          <w:color w:val="222222"/>
        </w:rPr>
        <w:t>o</w:t>
      </w:r>
      <w:r w:rsidR="00EA53B4" w:rsidRPr="00045946">
        <w:rPr>
          <w:rFonts w:ascii="Garamond" w:hAnsi="Garamond"/>
          <w:color w:val="222222"/>
        </w:rPr>
        <w:t xml:space="preserve">r even how a change in the law </w:t>
      </w:r>
      <w:r w:rsidR="00F42C67" w:rsidRPr="00045946">
        <w:rPr>
          <w:rFonts w:ascii="Garamond" w:hAnsi="Garamond"/>
          <w:color w:val="222222"/>
        </w:rPr>
        <w:t xml:space="preserve">would or could </w:t>
      </w:r>
      <w:r w:rsidR="00EA53B4" w:rsidRPr="00045946">
        <w:rPr>
          <w:rFonts w:ascii="Garamond" w:hAnsi="Garamond"/>
          <w:color w:val="222222"/>
        </w:rPr>
        <w:t>adapt to such single-sex facilities</w:t>
      </w:r>
      <w:r w:rsidR="00F42C67" w:rsidRPr="00045946">
        <w:rPr>
          <w:rFonts w:ascii="Garamond" w:hAnsi="Garamond"/>
          <w:color w:val="222222"/>
        </w:rPr>
        <w:t>.</w:t>
      </w:r>
      <w:r w:rsidR="006646DC" w:rsidRPr="00045946">
        <w:rPr>
          <w:rFonts w:ascii="Garamond" w:hAnsi="Garamond"/>
          <w:color w:val="222222"/>
        </w:rPr>
        <w:t xml:space="preserve"> </w:t>
      </w:r>
      <w:r w:rsidR="00D44570" w:rsidRPr="00045946">
        <w:rPr>
          <w:rFonts w:ascii="Garamond" w:hAnsi="Garamond"/>
          <w:color w:val="222222"/>
        </w:rPr>
        <w:t>Although t</w:t>
      </w:r>
      <w:r w:rsidR="00EA53B4" w:rsidRPr="00045946">
        <w:rPr>
          <w:rFonts w:ascii="Garamond" w:hAnsi="Garamond"/>
          <w:color w:val="222222"/>
        </w:rPr>
        <w:t>hey are</w:t>
      </w:r>
      <w:r w:rsidR="00D44570" w:rsidRPr="00045946">
        <w:rPr>
          <w:rFonts w:ascii="Garamond" w:hAnsi="Garamond"/>
          <w:color w:val="222222"/>
        </w:rPr>
        <w:t xml:space="preserve"> currently </w:t>
      </w:r>
      <w:r w:rsidR="00EA53B4" w:rsidRPr="00045946">
        <w:rPr>
          <w:rFonts w:ascii="Garamond" w:hAnsi="Garamond"/>
          <w:color w:val="222222"/>
        </w:rPr>
        <w:t>small in number,</w:t>
      </w:r>
      <w:r w:rsidR="00B402B7" w:rsidRPr="00045946">
        <w:rPr>
          <w:rFonts w:ascii="Garamond" w:hAnsi="Garamond"/>
          <w:color w:val="222222"/>
        </w:rPr>
        <w:t xml:space="preserve"> </w:t>
      </w:r>
      <w:r w:rsidRPr="00045946">
        <w:rPr>
          <w:rFonts w:ascii="Garamond" w:hAnsi="Garamond"/>
          <w:color w:val="222222"/>
        </w:rPr>
        <w:t>girls’ schools</w:t>
      </w:r>
      <w:r w:rsidR="00EA53B4" w:rsidRPr="00045946">
        <w:rPr>
          <w:rFonts w:ascii="Garamond" w:hAnsi="Garamond"/>
          <w:color w:val="222222"/>
        </w:rPr>
        <w:t xml:space="preserve"> </w:t>
      </w:r>
      <w:r w:rsidRPr="00045946">
        <w:rPr>
          <w:rFonts w:ascii="Garamond" w:hAnsi="Garamond"/>
          <w:color w:val="222222"/>
        </w:rPr>
        <w:t xml:space="preserve">most certainly </w:t>
      </w:r>
      <w:r w:rsidR="00EA53B4" w:rsidRPr="00045946">
        <w:rPr>
          <w:rFonts w:ascii="Garamond" w:hAnsi="Garamond"/>
          <w:color w:val="222222"/>
        </w:rPr>
        <w:t xml:space="preserve">should be allowed to exist even if </w:t>
      </w:r>
      <w:r w:rsidR="00A45497" w:rsidRPr="00045946">
        <w:rPr>
          <w:rFonts w:ascii="Garamond" w:hAnsi="Garamond"/>
          <w:color w:val="222222"/>
        </w:rPr>
        <w:t xml:space="preserve">the law </w:t>
      </w:r>
      <w:r w:rsidR="00B17CAD">
        <w:rPr>
          <w:rFonts w:ascii="Garamond" w:hAnsi="Garamond"/>
          <w:color w:val="222222"/>
        </w:rPr>
        <w:t xml:space="preserve">accommodated </w:t>
      </w:r>
      <w:r w:rsidR="00EA53B4" w:rsidRPr="00045946">
        <w:rPr>
          <w:rFonts w:ascii="Garamond" w:hAnsi="Garamond"/>
          <w:color w:val="222222"/>
        </w:rPr>
        <w:t xml:space="preserve">more than two sexes/genders or if </w:t>
      </w:r>
      <w:r w:rsidR="00854F72" w:rsidRPr="00045946">
        <w:rPr>
          <w:rFonts w:ascii="Garamond" w:hAnsi="Garamond"/>
          <w:color w:val="222222"/>
        </w:rPr>
        <w:t>decertification were to occur</w:t>
      </w:r>
      <w:r w:rsidR="00EA53B4" w:rsidRPr="00045946">
        <w:rPr>
          <w:rFonts w:ascii="Garamond" w:hAnsi="Garamond"/>
          <w:color w:val="222222"/>
        </w:rPr>
        <w:t xml:space="preserve">. </w:t>
      </w:r>
      <w:r w:rsidR="00A757D6" w:rsidRPr="00045946">
        <w:rPr>
          <w:rFonts w:ascii="Garamond" w:hAnsi="Garamond"/>
          <w:color w:val="222222"/>
        </w:rPr>
        <w:t>Historically, girls’ schools and women’s colleges have</w:t>
      </w:r>
      <w:r w:rsidR="00A45497" w:rsidRPr="00045946">
        <w:rPr>
          <w:rFonts w:ascii="Garamond" w:hAnsi="Garamond"/>
          <w:color w:val="222222"/>
        </w:rPr>
        <w:t xml:space="preserve"> </w:t>
      </w:r>
      <w:r w:rsidR="00A757D6" w:rsidRPr="00045946">
        <w:rPr>
          <w:rFonts w:ascii="Garamond" w:hAnsi="Garamond"/>
          <w:color w:val="222222"/>
        </w:rPr>
        <w:t xml:space="preserve">worked to </w:t>
      </w:r>
      <w:r w:rsidR="00A45497" w:rsidRPr="00045946">
        <w:rPr>
          <w:rFonts w:ascii="Garamond" w:hAnsi="Garamond"/>
          <w:color w:val="222222"/>
        </w:rPr>
        <w:t>combat the</w:t>
      </w:r>
      <w:r w:rsidR="003650BF" w:rsidRPr="00045946">
        <w:rPr>
          <w:rFonts w:ascii="Garamond" w:hAnsi="Garamond"/>
          <w:color w:val="222222"/>
        </w:rPr>
        <w:t xml:space="preserve"> marginalization of </w:t>
      </w:r>
      <w:r w:rsidR="00A45497" w:rsidRPr="00045946">
        <w:rPr>
          <w:rFonts w:ascii="Garamond" w:hAnsi="Garamond"/>
          <w:color w:val="222222"/>
        </w:rPr>
        <w:t xml:space="preserve">girls and </w:t>
      </w:r>
      <w:r w:rsidR="003650BF" w:rsidRPr="00045946">
        <w:rPr>
          <w:rFonts w:ascii="Garamond" w:hAnsi="Garamond"/>
          <w:color w:val="222222"/>
        </w:rPr>
        <w:t>women in primary, secondary and higher education</w:t>
      </w:r>
      <w:r w:rsidR="00A757D6" w:rsidRPr="00045946">
        <w:rPr>
          <w:rFonts w:ascii="Garamond" w:hAnsi="Garamond"/>
          <w:color w:val="222222"/>
        </w:rPr>
        <w:t xml:space="preserve"> and have</w:t>
      </w:r>
      <w:r w:rsidR="00014D03" w:rsidRPr="00045946">
        <w:rPr>
          <w:rFonts w:ascii="Garamond" w:hAnsi="Garamond"/>
          <w:color w:val="222222"/>
        </w:rPr>
        <w:t xml:space="preserve"> </w:t>
      </w:r>
      <w:r w:rsidR="00DB4FBC" w:rsidRPr="00045946">
        <w:rPr>
          <w:rFonts w:ascii="Garamond" w:hAnsi="Garamond"/>
          <w:color w:val="222222"/>
        </w:rPr>
        <w:t>impacted gender-based</w:t>
      </w:r>
      <w:r w:rsidR="003650BF" w:rsidRPr="00045946">
        <w:rPr>
          <w:rFonts w:ascii="Garamond" w:hAnsi="Garamond"/>
          <w:color w:val="222222"/>
        </w:rPr>
        <w:t xml:space="preserve"> income inequality </w:t>
      </w:r>
      <w:r w:rsidR="00A757D6" w:rsidRPr="00045946">
        <w:rPr>
          <w:rFonts w:ascii="Garamond" w:hAnsi="Garamond"/>
          <w:color w:val="222222"/>
        </w:rPr>
        <w:t>by fostering women’s training and career prospects and channeling</w:t>
      </w:r>
      <w:r w:rsidR="003650BF" w:rsidRPr="00045946">
        <w:rPr>
          <w:rFonts w:ascii="Garamond" w:hAnsi="Garamond"/>
          <w:color w:val="222222"/>
        </w:rPr>
        <w:t xml:space="preserve"> resources </w:t>
      </w:r>
      <w:r w:rsidR="00A757D6" w:rsidRPr="00045946">
        <w:rPr>
          <w:rFonts w:ascii="Garamond" w:hAnsi="Garamond"/>
          <w:color w:val="222222"/>
        </w:rPr>
        <w:t>to underserved populations.</w:t>
      </w:r>
      <w:r w:rsidR="003650BF" w:rsidRPr="00045946">
        <w:rPr>
          <w:rFonts w:ascii="Garamond" w:hAnsi="Garamond"/>
          <w:color w:val="222222"/>
        </w:rPr>
        <w:t xml:space="preserve"> Single-sex education is not the only manner in which to address these gender-based disparities, but it is one way.</w:t>
      </w:r>
      <w:r w:rsidR="00BF3A46" w:rsidRPr="00045946">
        <w:rPr>
          <w:rFonts w:ascii="Garamond" w:hAnsi="Garamond"/>
          <w:color w:val="222222"/>
        </w:rPr>
        <w:t xml:space="preserve"> In this sense, single-sex education </w:t>
      </w:r>
      <w:r w:rsidR="00DB4FBC" w:rsidRPr="00045946">
        <w:rPr>
          <w:rFonts w:ascii="Garamond" w:hAnsi="Garamond"/>
          <w:color w:val="222222"/>
        </w:rPr>
        <w:t>could be considered</w:t>
      </w:r>
      <w:r w:rsidR="00014D03" w:rsidRPr="00045946">
        <w:rPr>
          <w:rFonts w:ascii="Garamond" w:hAnsi="Garamond"/>
          <w:color w:val="222222"/>
        </w:rPr>
        <w:t xml:space="preserve"> </w:t>
      </w:r>
      <w:r w:rsidR="00BF3A46" w:rsidRPr="00045946">
        <w:rPr>
          <w:rFonts w:ascii="Garamond" w:hAnsi="Garamond"/>
          <w:color w:val="222222"/>
        </w:rPr>
        <w:t xml:space="preserve">aspirational </w:t>
      </w:r>
      <w:r w:rsidR="00014D03" w:rsidRPr="00045946">
        <w:rPr>
          <w:rFonts w:ascii="Garamond" w:hAnsi="Garamond"/>
          <w:color w:val="222222"/>
        </w:rPr>
        <w:t>in being committed to</w:t>
      </w:r>
      <w:r w:rsidR="00BF3A46" w:rsidRPr="00045946">
        <w:rPr>
          <w:rFonts w:ascii="Garamond" w:hAnsi="Garamond"/>
          <w:color w:val="222222"/>
        </w:rPr>
        <w:t xml:space="preserve"> serv</w:t>
      </w:r>
      <w:r w:rsidR="00014D03" w:rsidRPr="00045946">
        <w:rPr>
          <w:rFonts w:ascii="Garamond" w:hAnsi="Garamond"/>
          <w:color w:val="222222"/>
        </w:rPr>
        <w:t>ing</w:t>
      </w:r>
      <w:r w:rsidR="00BF3A46" w:rsidRPr="00045946">
        <w:rPr>
          <w:rFonts w:ascii="Garamond" w:hAnsi="Garamond"/>
          <w:color w:val="222222"/>
        </w:rPr>
        <w:t xml:space="preserve"> communities who are </w:t>
      </w:r>
      <w:r w:rsidR="00014D03" w:rsidRPr="00045946">
        <w:rPr>
          <w:rFonts w:ascii="Garamond" w:hAnsi="Garamond"/>
          <w:color w:val="222222"/>
        </w:rPr>
        <w:t>often neglected</w:t>
      </w:r>
      <w:r w:rsidR="00BF3A46" w:rsidRPr="00045946">
        <w:rPr>
          <w:rFonts w:ascii="Garamond" w:hAnsi="Garamond"/>
          <w:color w:val="222222"/>
        </w:rPr>
        <w:t>.</w:t>
      </w:r>
    </w:p>
    <w:p w14:paraId="2027B770" w14:textId="14F82E89" w:rsidR="00D44570" w:rsidRPr="00045946" w:rsidRDefault="00973FE4" w:rsidP="00045946">
      <w:pPr>
        <w:shd w:val="clear" w:color="auto" w:fill="FFFFFF"/>
        <w:spacing w:before="100" w:beforeAutospacing="1" w:after="100" w:afterAutospacing="1" w:line="480" w:lineRule="auto"/>
        <w:ind w:firstLine="720"/>
        <w:contextualSpacing/>
        <w:rPr>
          <w:rFonts w:ascii="Garamond" w:hAnsi="Garamond"/>
          <w:b/>
          <w:color w:val="222222"/>
          <w:lang w:val="en-GB"/>
        </w:rPr>
      </w:pPr>
      <w:r w:rsidRPr="00045946">
        <w:rPr>
          <w:rFonts w:ascii="Garamond" w:hAnsi="Garamond"/>
          <w:color w:val="222222"/>
        </w:rPr>
        <w:t>T</w:t>
      </w:r>
      <w:r w:rsidR="006646DC" w:rsidRPr="00045946">
        <w:rPr>
          <w:rFonts w:ascii="Garamond" w:hAnsi="Garamond"/>
          <w:color w:val="222222"/>
        </w:rPr>
        <w:t>his brings me to t</w:t>
      </w:r>
      <w:r w:rsidRPr="00045946">
        <w:rPr>
          <w:rFonts w:ascii="Garamond" w:hAnsi="Garamond"/>
          <w:color w:val="222222"/>
        </w:rPr>
        <w:t xml:space="preserve">he broader </w:t>
      </w:r>
      <w:r w:rsidR="00A45497" w:rsidRPr="00045946">
        <w:rPr>
          <w:rFonts w:ascii="Garamond" w:hAnsi="Garamond"/>
          <w:color w:val="222222"/>
        </w:rPr>
        <w:t xml:space="preserve">political </w:t>
      </w:r>
      <w:r w:rsidRPr="00045946">
        <w:rPr>
          <w:rFonts w:ascii="Garamond" w:hAnsi="Garamond"/>
          <w:color w:val="222222"/>
        </w:rPr>
        <w:t>context</w:t>
      </w:r>
      <w:r w:rsidR="00854F72" w:rsidRPr="00045946">
        <w:rPr>
          <w:rFonts w:ascii="Garamond" w:hAnsi="Garamond"/>
          <w:color w:val="222222"/>
        </w:rPr>
        <w:t>, which must also be considered</w:t>
      </w:r>
      <w:r w:rsidR="00DB4FBC" w:rsidRPr="00045946">
        <w:rPr>
          <w:rFonts w:ascii="Garamond" w:hAnsi="Garamond"/>
          <w:color w:val="222222"/>
        </w:rPr>
        <w:t xml:space="preserve"> in this discussion</w:t>
      </w:r>
      <w:r w:rsidR="00A45497" w:rsidRPr="00045946">
        <w:rPr>
          <w:rFonts w:ascii="Garamond" w:hAnsi="Garamond"/>
          <w:color w:val="222222"/>
        </w:rPr>
        <w:t xml:space="preserve">. </w:t>
      </w:r>
      <w:r w:rsidRPr="00045946">
        <w:rPr>
          <w:rFonts w:ascii="Garamond" w:hAnsi="Garamond"/>
          <w:color w:val="222222"/>
        </w:rPr>
        <w:t>In Europe and elsewhere, gender ideology debates</w:t>
      </w:r>
      <w:r w:rsidR="00E47E1E" w:rsidRPr="00045946">
        <w:rPr>
          <w:rFonts w:ascii="Garamond" w:hAnsi="Garamond"/>
          <w:color w:val="222222"/>
        </w:rPr>
        <w:t xml:space="preserve"> have proliferated</w:t>
      </w:r>
      <w:r w:rsidR="00F93775">
        <w:rPr>
          <w:rFonts w:ascii="Garamond" w:hAnsi="Garamond"/>
          <w:color w:val="222222"/>
        </w:rPr>
        <w:t xml:space="preserve"> (</w:t>
      </w:r>
      <w:proofErr w:type="spellStart"/>
      <w:r w:rsidR="00F93775">
        <w:rPr>
          <w:rFonts w:ascii="Garamond" w:hAnsi="Garamond"/>
          <w:color w:val="222222"/>
        </w:rPr>
        <w:t>Kuhar</w:t>
      </w:r>
      <w:proofErr w:type="spellEnd"/>
      <w:r w:rsidR="00F93775">
        <w:rPr>
          <w:rFonts w:ascii="Garamond" w:hAnsi="Garamond"/>
          <w:color w:val="222222"/>
        </w:rPr>
        <w:t xml:space="preserve"> and </w:t>
      </w:r>
      <w:proofErr w:type="spellStart"/>
      <w:r w:rsidR="00F93775">
        <w:rPr>
          <w:rFonts w:ascii="Garamond" w:hAnsi="Garamond"/>
          <w:color w:val="222222"/>
        </w:rPr>
        <w:t>Paternotte</w:t>
      </w:r>
      <w:proofErr w:type="spellEnd"/>
      <w:r w:rsidR="00F93775">
        <w:rPr>
          <w:rFonts w:ascii="Garamond" w:hAnsi="Garamond"/>
          <w:color w:val="222222"/>
        </w:rPr>
        <w:t>, 2017)</w:t>
      </w:r>
      <w:r w:rsidR="00854F72" w:rsidRPr="00045946">
        <w:rPr>
          <w:rFonts w:ascii="Garamond" w:hAnsi="Garamond"/>
          <w:color w:val="222222"/>
        </w:rPr>
        <w:t xml:space="preserve">, while </w:t>
      </w:r>
      <w:r w:rsidR="00E47E1E" w:rsidRPr="00045946">
        <w:rPr>
          <w:rFonts w:ascii="Garamond" w:hAnsi="Garamond"/>
          <w:color w:val="222222"/>
        </w:rPr>
        <w:t xml:space="preserve">globally an </w:t>
      </w:r>
      <w:r w:rsidR="00A757D6" w:rsidRPr="00045946">
        <w:rPr>
          <w:rFonts w:ascii="Garamond" w:hAnsi="Garamond"/>
          <w:color w:val="222222"/>
        </w:rPr>
        <w:t>uptick</w:t>
      </w:r>
      <w:r w:rsidR="00E47E1E" w:rsidRPr="00045946">
        <w:rPr>
          <w:rFonts w:ascii="Garamond" w:hAnsi="Garamond"/>
          <w:color w:val="222222"/>
        </w:rPr>
        <w:t xml:space="preserve"> in t</w:t>
      </w:r>
      <w:r w:rsidRPr="00045946">
        <w:rPr>
          <w:rFonts w:ascii="Garamond" w:hAnsi="Garamond"/>
          <w:color w:val="222222"/>
        </w:rPr>
        <w:t xml:space="preserve">rans visibility </w:t>
      </w:r>
      <w:r w:rsidR="00E47E1E" w:rsidRPr="00045946">
        <w:rPr>
          <w:rFonts w:ascii="Garamond" w:hAnsi="Garamond"/>
          <w:color w:val="222222"/>
        </w:rPr>
        <w:t xml:space="preserve">has </w:t>
      </w:r>
      <w:r w:rsidR="00A757D6" w:rsidRPr="00045946">
        <w:rPr>
          <w:rFonts w:ascii="Garamond" w:hAnsi="Garamond"/>
          <w:color w:val="222222"/>
        </w:rPr>
        <w:t xml:space="preserve">perversely </w:t>
      </w:r>
      <w:r w:rsidR="00E47E1E" w:rsidRPr="00045946">
        <w:rPr>
          <w:rFonts w:ascii="Garamond" w:hAnsi="Garamond"/>
          <w:color w:val="222222"/>
        </w:rPr>
        <w:t>translated into</w:t>
      </w:r>
      <w:r w:rsidRPr="00045946">
        <w:rPr>
          <w:rFonts w:ascii="Garamond" w:hAnsi="Garamond"/>
          <w:color w:val="222222"/>
        </w:rPr>
        <w:t xml:space="preserve"> increased violence towards trans </w:t>
      </w:r>
      <w:r w:rsidR="00A45497" w:rsidRPr="00045946">
        <w:rPr>
          <w:rFonts w:ascii="Garamond" w:hAnsi="Garamond"/>
          <w:color w:val="222222"/>
        </w:rPr>
        <w:t xml:space="preserve">and gender-diverse </w:t>
      </w:r>
      <w:r w:rsidR="00014D03" w:rsidRPr="00045946">
        <w:rPr>
          <w:rFonts w:ascii="Garamond" w:hAnsi="Garamond"/>
          <w:color w:val="222222"/>
        </w:rPr>
        <w:t>people</w:t>
      </w:r>
      <w:r w:rsidR="00D47892">
        <w:rPr>
          <w:rFonts w:ascii="Garamond" w:hAnsi="Garamond"/>
          <w:color w:val="222222"/>
        </w:rPr>
        <w:t xml:space="preserve"> (Truitt, 2016)</w:t>
      </w:r>
      <w:r w:rsidR="00E47E1E" w:rsidRPr="00045946">
        <w:rPr>
          <w:rFonts w:ascii="Garamond" w:hAnsi="Garamond"/>
          <w:color w:val="222222"/>
        </w:rPr>
        <w:t xml:space="preserve">. </w:t>
      </w:r>
      <w:r w:rsidR="00415609" w:rsidRPr="00045946">
        <w:rPr>
          <w:rFonts w:ascii="Garamond" w:hAnsi="Garamond"/>
          <w:color w:val="222222"/>
        </w:rPr>
        <w:t>Rather than wide</w:t>
      </w:r>
      <w:r w:rsidR="00A757D6" w:rsidRPr="00045946">
        <w:rPr>
          <w:rFonts w:ascii="Garamond" w:hAnsi="Garamond"/>
          <w:color w:val="222222"/>
        </w:rPr>
        <w:t>scale</w:t>
      </w:r>
      <w:r w:rsidR="00415609" w:rsidRPr="00045946">
        <w:rPr>
          <w:rFonts w:ascii="Garamond" w:hAnsi="Garamond"/>
          <w:color w:val="222222"/>
        </w:rPr>
        <w:t xml:space="preserve"> acceptance, t</w:t>
      </w:r>
      <w:r w:rsidR="003650BF" w:rsidRPr="00045946">
        <w:rPr>
          <w:rFonts w:ascii="Garamond" w:hAnsi="Garamond"/>
          <w:color w:val="222222"/>
        </w:rPr>
        <w:t xml:space="preserve">rans people are constantly forced to prove </w:t>
      </w:r>
      <w:r w:rsidR="00415609" w:rsidRPr="00045946">
        <w:rPr>
          <w:rFonts w:ascii="Garamond" w:hAnsi="Garamond"/>
          <w:color w:val="222222"/>
        </w:rPr>
        <w:t>they</w:t>
      </w:r>
      <w:r w:rsidR="003650BF" w:rsidRPr="00045946">
        <w:rPr>
          <w:rFonts w:ascii="Garamond" w:hAnsi="Garamond"/>
          <w:color w:val="222222"/>
        </w:rPr>
        <w:t xml:space="preserve"> are who </w:t>
      </w:r>
      <w:r w:rsidR="00415609" w:rsidRPr="00045946">
        <w:rPr>
          <w:rFonts w:ascii="Garamond" w:hAnsi="Garamond"/>
          <w:color w:val="222222"/>
        </w:rPr>
        <w:t>they</w:t>
      </w:r>
      <w:r w:rsidR="003650BF" w:rsidRPr="00045946">
        <w:rPr>
          <w:rFonts w:ascii="Garamond" w:hAnsi="Garamond"/>
          <w:color w:val="222222"/>
        </w:rPr>
        <w:t xml:space="preserve"> say </w:t>
      </w:r>
      <w:r w:rsidR="00415609" w:rsidRPr="00045946">
        <w:rPr>
          <w:rFonts w:ascii="Garamond" w:hAnsi="Garamond"/>
          <w:color w:val="222222"/>
        </w:rPr>
        <w:t>they</w:t>
      </w:r>
      <w:r w:rsidR="003650BF" w:rsidRPr="00045946">
        <w:rPr>
          <w:rFonts w:ascii="Garamond" w:hAnsi="Garamond"/>
          <w:color w:val="222222"/>
        </w:rPr>
        <w:t xml:space="preserve"> are,</w:t>
      </w:r>
      <w:r w:rsidR="00A757D6" w:rsidRPr="00045946">
        <w:rPr>
          <w:rFonts w:ascii="Garamond" w:hAnsi="Garamond"/>
          <w:color w:val="222222"/>
        </w:rPr>
        <w:t xml:space="preserve"> that is,</w:t>
      </w:r>
      <w:r w:rsidR="003650BF" w:rsidRPr="00045946">
        <w:rPr>
          <w:rFonts w:ascii="Garamond" w:hAnsi="Garamond"/>
          <w:color w:val="222222"/>
        </w:rPr>
        <w:t xml:space="preserve"> to “provide evidence of </w:t>
      </w:r>
      <w:r w:rsidR="00415609" w:rsidRPr="00045946">
        <w:rPr>
          <w:rFonts w:ascii="Garamond" w:hAnsi="Garamond"/>
          <w:color w:val="222222"/>
        </w:rPr>
        <w:t>their very</w:t>
      </w:r>
      <w:r w:rsidR="003650BF" w:rsidRPr="00045946">
        <w:rPr>
          <w:rFonts w:ascii="Garamond" w:hAnsi="Garamond"/>
          <w:color w:val="222222"/>
        </w:rPr>
        <w:t xml:space="preserve"> existence”</w:t>
      </w:r>
      <w:r w:rsidR="00630BED" w:rsidRPr="00045946">
        <w:rPr>
          <w:rFonts w:ascii="Garamond" w:hAnsi="Garamond"/>
          <w:color w:val="222222"/>
        </w:rPr>
        <w:t xml:space="preserve"> (Ahmed</w:t>
      </w:r>
      <w:r w:rsidR="000A19D8" w:rsidRPr="00045946">
        <w:rPr>
          <w:rFonts w:ascii="Garamond" w:hAnsi="Garamond"/>
          <w:color w:val="222222"/>
        </w:rPr>
        <w:t>,</w:t>
      </w:r>
      <w:r w:rsidR="00630BED" w:rsidRPr="00045946">
        <w:rPr>
          <w:rFonts w:ascii="Garamond" w:hAnsi="Garamond"/>
          <w:color w:val="222222"/>
        </w:rPr>
        <w:t xml:space="preserve"> 201</w:t>
      </w:r>
      <w:r w:rsidR="000A19D8" w:rsidRPr="00045946">
        <w:rPr>
          <w:rFonts w:ascii="Garamond" w:hAnsi="Garamond"/>
          <w:color w:val="222222"/>
        </w:rPr>
        <w:t>6:</w:t>
      </w:r>
      <w:r w:rsidR="00630BED" w:rsidRPr="00045946">
        <w:rPr>
          <w:rFonts w:ascii="Garamond" w:hAnsi="Garamond"/>
          <w:color w:val="222222"/>
        </w:rPr>
        <w:t xml:space="preserve"> 228).</w:t>
      </w:r>
      <w:r w:rsidR="00415609" w:rsidRPr="00045946">
        <w:rPr>
          <w:rFonts w:ascii="Garamond" w:hAnsi="Garamond"/>
          <w:color w:val="222222"/>
        </w:rPr>
        <w:t xml:space="preserve"> </w:t>
      </w:r>
      <w:r w:rsidR="00222B43" w:rsidRPr="00045946">
        <w:rPr>
          <w:rFonts w:ascii="Garamond" w:hAnsi="Garamond"/>
          <w:color w:val="222222"/>
        </w:rPr>
        <w:t>I</w:t>
      </w:r>
      <w:r w:rsidR="00415609" w:rsidRPr="00045946">
        <w:rPr>
          <w:rFonts w:ascii="Garamond" w:hAnsi="Garamond"/>
          <w:color w:val="222222"/>
        </w:rPr>
        <w:t>n</w:t>
      </w:r>
      <w:r w:rsidR="00E47E1E" w:rsidRPr="00045946">
        <w:rPr>
          <w:rFonts w:ascii="Garamond" w:hAnsi="Garamond"/>
          <w:color w:val="222222"/>
        </w:rPr>
        <w:t xml:space="preserve"> </w:t>
      </w:r>
      <w:r w:rsidR="00A757D6" w:rsidRPr="00045946">
        <w:rPr>
          <w:rFonts w:ascii="Garamond" w:hAnsi="Garamond"/>
          <w:color w:val="222222"/>
        </w:rPr>
        <w:t xml:space="preserve">the United States, </w:t>
      </w:r>
      <w:r w:rsidR="00E47E1E" w:rsidRPr="00045946">
        <w:rPr>
          <w:rFonts w:ascii="Garamond" w:hAnsi="Garamond"/>
          <w:color w:val="222222"/>
        </w:rPr>
        <w:t>so-called bathroom bills, which criminalize trans people for using the</w:t>
      </w:r>
      <w:r w:rsidR="00014D03" w:rsidRPr="00045946">
        <w:rPr>
          <w:rFonts w:ascii="Garamond" w:hAnsi="Garamond"/>
          <w:color w:val="222222"/>
        </w:rPr>
        <w:t xml:space="preserve"> rest</w:t>
      </w:r>
      <w:r w:rsidR="00E47E1E" w:rsidRPr="00045946">
        <w:rPr>
          <w:rFonts w:ascii="Garamond" w:hAnsi="Garamond"/>
          <w:color w:val="222222"/>
        </w:rPr>
        <w:t>room that aligns with their gender identity, have abounded. Even before these bills, trans people were targeted and courts ruled in at least two cases that trans individuals were required to use</w:t>
      </w:r>
      <w:r w:rsidR="007B1312" w:rsidRPr="00045946">
        <w:rPr>
          <w:rFonts w:ascii="Garamond" w:hAnsi="Garamond"/>
          <w:color w:val="222222"/>
        </w:rPr>
        <w:t xml:space="preserve"> public</w:t>
      </w:r>
      <w:r w:rsidR="00E47E1E" w:rsidRPr="00045946">
        <w:rPr>
          <w:rFonts w:ascii="Garamond" w:hAnsi="Garamond"/>
          <w:color w:val="222222"/>
        </w:rPr>
        <w:t xml:space="preserve"> restrooms according to birth-assigned gender</w:t>
      </w:r>
      <w:r w:rsidR="00A757D6" w:rsidRPr="00045946">
        <w:rPr>
          <w:rFonts w:ascii="Garamond" w:hAnsi="Garamond"/>
          <w:color w:val="222222"/>
        </w:rPr>
        <w:t>, despite equality-based protections (Spade</w:t>
      </w:r>
      <w:r w:rsidR="000A19D8" w:rsidRPr="00045946">
        <w:rPr>
          <w:rFonts w:ascii="Garamond" w:hAnsi="Garamond"/>
          <w:color w:val="222222"/>
        </w:rPr>
        <w:t>,</w:t>
      </w:r>
      <w:r w:rsidR="00A757D6" w:rsidRPr="00045946">
        <w:rPr>
          <w:rFonts w:ascii="Garamond" w:hAnsi="Garamond"/>
          <w:color w:val="222222"/>
        </w:rPr>
        <w:t xml:space="preserve"> 2008; </w:t>
      </w:r>
      <w:proofErr w:type="spellStart"/>
      <w:r w:rsidR="00A757D6" w:rsidRPr="00045946">
        <w:rPr>
          <w:rFonts w:ascii="Garamond" w:hAnsi="Garamond"/>
          <w:color w:val="222222"/>
        </w:rPr>
        <w:t>Katyal</w:t>
      </w:r>
      <w:proofErr w:type="spellEnd"/>
      <w:r w:rsidR="000A19D8" w:rsidRPr="00045946">
        <w:rPr>
          <w:rFonts w:ascii="Garamond" w:hAnsi="Garamond"/>
          <w:color w:val="222222"/>
        </w:rPr>
        <w:t>,</w:t>
      </w:r>
      <w:r w:rsidR="00A757D6" w:rsidRPr="00045946">
        <w:rPr>
          <w:rFonts w:ascii="Garamond" w:hAnsi="Garamond"/>
          <w:color w:val="222222"/>
        </w:rPr>
        <w:t xml:space="preserve"> 2017)</w:t>
      </w:r>
      <w:r w:rsidR="00E47E1E" w:rsidRPr="00045946">
        <w:rPr>
          <w:rFonts w:ascii="Garamond" w:hAnsi="Garamond"/>
          <w:color w:val="222222"/>
        </w:rPr>
        <w:t>. What</w:t>
      </w:r>
      <w:r w:rsidR="00A757D6" w:rsidRPr="00045946">
        <w:rPr>
          <w:rFonts w:ascii="Garamond" w:hAnsi="Garamond"/>
          <w:color w:val="222222"/>
        </w:rPr>
        <w:t xml:space="preserve"> insight</w:t>
      </w:r>
      <w:r w:rsidR="00E47E1E" w:rsidRPr="00045946">
        <w:rPr>
          <w:rFonts w:ascii="Garamond" w:hAnsi="Garamond"/>
          <w:color w:val="222222"/>
        </w:rPr>
        <w:t xml:space="preserve"> might this example </w:t>
      </w:r>
      <w:r w:rsidR="00A757D6" w:rsidRPr="00045946">
        <w:rPr>
          <w:rFonts w:ascii="Garamond" w:hAnsi="Garamond"/>
          <w:color w:val="222222"/>
        </w:rPr>
        <w:t>offer for</w:t>
      </w:r>
      <w:r w:rsidR="00E47E1E" w:rsidRPr="00045946">
        <w:rPr>
          <w:rFonts w:ascii="Garamond" w:hAnsi="Garamond"/>
          <w:color w:val="222222"/>
        </w:rPr>
        <w:t xml:space="preserve"> the case of single-sex schools in England, where</w:t>
      </w:r>
      <w:r w:rsidR="00B17CAD">
        <w:rPr>
          <w:rFonts w:ascii="Garamond" w:hAnsi="Garamond"/>
          <w:color w:val="222222"/>
        </w:rPr>
        <w:t xml:space="preserve"> – </w:t>
      </w:r>
      <w:r w:rsidR="007B1312" w:rsidRPr="00045946">
        <w:rPr>
          <w:rFonts w:ascii="Garamond" w:hAnsi="Garamond"/>
          <w:color w:val="222222"/>
        </w:rPr>
        <w:t>in</w:t>
      </w:r>
      <w:r w:rsidR="00B17CAD">
        <w:rPr>
          <w:rFonts w:ascii="Garamond" w:hAnsi="Garamond"/>
          <w:color w:val="222222"/>
        </w:rPr>
        <w:t xml:space="preserve"> </w:t>
      </w:r>
      <w:r w:rsidR="007B1312" w:rsidRPr="00045946">
        <w:rPr>
          <w:rFonts w:ascii="Garamond" w:hAnsi="Garamond"/>
          <w:color w:val="222222"/>
        </w:rPr>
        <w:t xml:space="preserve">line with </w:t>
      </w:r>
      <w:r w:rsidR="007B1312" w:rsidRPr="00045946">
        <w:rPr>
          <w:rFonts w:ascii="Garamond" w:hAnsi="Garamond"/>
          <w:color w:val="000000"/>
        </w:rPr>
        <w:t xml:space="preserve">the requirements of the </w:t>
      </w:r>
      <w:r w:rsidR="007B1312" w:rsidRPr="00045946">
        <w:rPr>
          <w:rFonts w:ascii="Garamond" w:hAnsi="Garamond"/>
          <w:i/>
          <w:color w:val="000000"/>
        </w:rPr>
        <w:t>Equality Act 2010</w:t>
      </w:r>
      <w:r w:rsidR="00B17CAD">
        <w:rPr>
          <w:rFonts w:ascii="Garamond" w:hAnsi="Garamond"/>
          <w:color w:val="222222"/>
        </w:rPr>
        <w:t xml:space="preserve"> – </w:t>
      </w:r>
      <w:r w:rsidR="00E47E1E" w:rsidRPr="00045946">
        <w:rPr>
          <w:rFonts w:ascii="Garamond" w:hAnsi="Garamond"/>
          <w:color w:val="000000"/>
        </w:rPr>
        <w:t>t</w:t>
      </w:r>
      <w:r w:rsidR="00BB34F1" w:rsidRPr="00045946">
        <w:rPr>
          <w:rFonts w:ascii="Garamond" w:hAnsi="Garamond"/>
          <w:color w:val="000000"/>
        </w:rPr>
        <w:t>here</w:t>
      </w:r>
      <w:r w:rsidR="00B17CAD">
        <w:rPr>
          <w:rFonts w:ascii="Garamond" w:hAnsi="Garamond"/>
          <w:color w:val="000000"/>
        </w:rPr>
        <w:t xml:space="preserve"> </w:t>
      </w:r>
      <w:r w:rsidR="00BB34F1" w:rsidRPr="00045946">
        <w:rPr>
          <w:rFonts w:ascii="Garamond" w:hAnsi="Garamond"/>
          <w:color w:val="000000"/>
        </w:rPr>
        <w:t xml:space="preserve">is a clear legal basis for </w:t>
      </w:r>
      <w:r w:rsidR="00B17CAD">
        <w:rPr>
          <w:rFonts w:ascii="Garamond" w:hAnsi="Garamond"/>
          <w:color w:val="000000"/>
        </w:rPr>
        <w:t>non</w:t>
      </w:r>
      <w:r w:rsidR="00E47E1E" w:rsidRPr="00045946">
        <w:rPr>
          <w:rFonts w:ascii="Garamond" w:hAnsi="Garamond"/>
          <w:color w:val="000000"/>
        </w:rPr>
        <w:t xml:space="preserve">-discrimination and </w:t>
      </w:r>
      <w:r w:rsidR="00BB34F1" w:rsidRPr="00045946">
        <w:rPr>
          <w:rFonts w:ascii="Garamond" w:hAnsi="Garamond"/>
          <w:color w:val="000000"/>
        </w:rPr>
        <w:t>inclusion of trans students</w:t>
      </w:r>
      <w:r w:rsidR="00415609" w:rsidRPr="00045946">
        <w:rPr>
          <w:rFonts w:ascii="Garamond" w:hAnsi="Garamond"/>
          <w:color w:val="000000"/>
        </w:rPr>
        <w:t>?</w:t>
      </w:r>
      <w:r w:rsidR="00BB34F1" w:rsidRPr="00045946">
        <w:rPr>
          <w:rFonts w:ascii="Garamond" w:hAnsi="Garamond"/>
          <w:color w:val="000000"/>
        </w:rPr>
        <w:t xml:space="preserve"> </w:t>
      </w:r>
      <w:r w:rsidR="007B1312" w:rsidRPr="00045946">
        <w:rPr>
          <w:rFonts w:ascii="Garamond" w:hAnsi="Garamond"/>
          <w:color w:val="222222"/>
        </w:rPr>
        <w:lastRenderedPageBreak/>
        <w:t>This could</w:t>
      </w:r>
      <w:r w:rsidR="00F91029" w:rsidRPr="00045946">
        <w:rPr>
          <w:rFonts w:ascii="Garamond" w:hAnsi="Garamond"/>
          <w:color w:val="222222"/>
        </w:rPr>
        <w:t xml:space="preserve"> </w:t>
      </w:r>
      <w:r w:rsidR="00014D03" w:rsidRPr="00045946">
        <w:rPr>
          <w:rFonts w:ascii="Garamond" w:hAnsi="Garamond"/>
          <w:color w:val="222222"/>
        </w:rPr>
        <w:t>in fact</w:t>
      </w:r>
      <w:r w:rsidR="00F91029" w:rsidRPr="00045946">
        <w:rPr>
          <w:rFonts w:ascii="Garamond" w:hAnsi="Garamond"/>
          <w:color w:val="222222"/>
        </w:rPr>
        <w:t xml:space="preserve"> </w:t>
      </w:r>
      <w:r w:rsidR="007B1312" w:rsidRPr="00045946">
        <w:rPr>
          <w:rFonts w:ascii="Garamond" w:hAnsi="Garamond"/>
          <w:color w:val="222222"/>
        </w:rPr>
        <w:t xml:space="preserve">indicate that there is </w:t>
      </w:r>
      <w:r w:rsidR="00F91029" w:rsidRPr="00045946">
        <w:rPr>
          <w:rFonts w:ascii="Garamond" w:hAnsi="Garamond"/>
          <w:color w:val="222222"/>
        </w:rPr>
        <w:t xml:space="preserve">reason to be skeptical of </w:t>
      </w:r>
      <w:r w:rsidR="007B1312" w:rsidRPr="00045946">
        <w:rPr>
          <w:rFonts w:ascii="Garamond" w:hAnsi="Garamond"/>
          <w:color w:val="222222"/>
        </w:rPr>
        <w:t xml:space="preserve">the </w:t>
      </w:r>
      <w:r w:rsidR="00F91029" w:rsidRPr="00045946">
        <w:rPr>
          <w:rFonts w:ascii="Garamond" w:hAnsi="Garamond"/>
          <w:color w:val="222222"/>
        </w:rPr>
        <w:t>law as enacting change and embracing diversity.</w:t>
      </w:r>
    </w:p>
    <w:p w14:paraId="515030A0" w14:textId="2A6407A2" w:rsidR="00973FE4" w:rsidRPr="00045946" w:rsidRDefault="00415609" w:rsidP="00045946">
      <w:pPr>
        <w:shd w:val="clear" w:color="auto" w:fill="FFFFFF"/>
        <w:spacing w:before="100" w:beforeAutospacing="1" w:after="100" w:afterAutospacing="1" w:line="480" w:lineRule="auto"/>
        <w:ind w:firstLine="720"/>
        <w:contextualSpacing/>
        <w:rPr>
          <w:rFonts w:ascii="Garamond" w:hAnsi="Garamond"/>
          <w:color w:val="222222"/>
        </w:rPr>
      </w:pPr>
      <w:r w:rsidRPr="00045946">
        <w:rPr>
          <w:rFonts w:ascii="Garamond" w:hAnsi="Garamond"/>
          <w:color w:val="222222"/>
        </w:rPr>
        <w:t xml:space="preserve">Returning to the paper, </w:t>
      </w:r>
      <w:r w:rsidR="00E47E1E" w:rsidRPr="00045946">
        <w:rPr>
          <w:rFonts w:ascii="Garamond" w:hAnsi="Garamond"/>
          <w:color w:val="222222"/>
        </w:rPr>
        <w:t xml:space="preserve">I </w:t>
      </w:r>
      <w:r w:rsidR="00B402B7" w:rsidRPr="00045946">
        <w:rPr>
          <w:rFonts w:ascii="Garamond" w:hAnsi="Garamond"/>
          <w:color w:val="222222"/>
        </w:rPr>
        <w:t xml:space="preserve">would like to focus my remaining comments around </w:t>
      </w:r>
      <w:r w:rsidR="00EA4D56" w:rsidRPr="00045946">
        <w:rPr>
          <w:rFonts w:ascii="Garamond" w:hAnsi="Garamond"/>
          <w:color w:val="222222"/>
        </w:rPr>
        <w:t>three</w:t>
      </w:r>
      <w:r w:rsidR="00E47E1E" w:rsidRPr="00045946">
        <w:rPr>
          <w:rFonts w:ascii="Garamond" w:hAnsi="Garamond"/>
          <w:color w:val="222222"/>
        </w:rPr>
        <w:t xml:space="preserve"> main themes</w:t>
      </w:r>
      <w:r w:rsidR="00D44B39" w:rsidRPr="00045946">
        <w:rPr>
          <w:rFonts w:ascii="Garamond" w:hAnsi="Garamond"/>
          <w:color w:val="222222"/>
        </w:rPr>
        <w:t xml:space="preserve"> – </w:t>
      </w:r>
      <w:r w:rsidR="002F1A5B" w:rsidRPr="00045946">
        <w:rPr>
          <w:rFonts w:ascii="Garamond" w:hAnsi="Garamond"/>
          <w:color w:val="222222"/>
        </w:rPr>
        <w:t>belonging, safe spaces, and institutions</w:t>
      </w:r>
      <w:r w:rsidR="00D44B39" w:rsidRPr="00045946">
        <w:rPr>
          <w:rFonts w:ascii="Garamond" w:hAnsi="Garamond"/>
          <w:color w:val="222222"/>
        </w:rPr>
        <w:t xml:space="preserve"> – </w:t>
      </w:r>
      <w:r w:rsidR="00014D03" w:rsidRPr="00045946">
        <w:rPr>
          <w:rFonts w:ascii="Garamond" w:hAnsi="Garamond"/>
          <w:color w:val="222222"/>
        </w:rPr>
        <w:t>each of which</w:t>
      </w:r>
      <w:r w:rsidR="002F1A5B" w:rsidRPr="00045946">
        <w:rPr>
          <w:rFonts w:ascii="Garamond" w:hAnsi="Garamond"/>
          <w:color w:val="222222"/>
        </w:rPr>
        <w:t xml:space="preserve"> </w:t>
      </w:r>
      <w:r w:rsidRPr="00045946">
        <w:rPr>
          <w:rFonts w:ascii="Garamond" w:hAnsi="Garamond"/>
          <w:color w:val="222222"/>
        </w:rPr>
        <w:t xml:space="preserve">I will briefly </w:t>
      </w:r>
      <w:r w:rsidR="002F1A5B" w:rsidRPr="00045946">
        <w:rPr>
          <w:rFonts w:ascii="Garamond" w:hAnsi="Garamond"/>
          <w:color w:val="222222"/>
        </w:rPr>
        <w:t xml:space="preserve">touch upon </w:t>
      </w:r>
      <w:r w:rsidR="00B402B7" w:rsidRPr="00045946">
        <w:rPr>
          <w:rFonts w:ascii="Garamond" w:hAnsi="Garamond"/>
          <w:color w:val="222222"/>
        </w:rPr>
        <w:t xml:space="preserve">in order to </w:t>
      </w:r>
      <w:r w:rsidR="000A19D8" w:rsidRPr="00045946">
        <w:rPr>
          <w:rFonts w:ascii="Garamond" w:hAnsi="Garamond"/>
          <w:color w:val="222222"/>
        </w:rPr>
        <w:t>further reflect on the central questions that Renz provokes</w:t>
      </w:r>
      <w:r w:rsidR="00E47E1E" w:rsidRPr="00045946">
        <w:rPr>
          <w:rFonts w:ascii="Garamond" w:hAnsi="Garamond"/>
          <w:color w:val="222222"/>
        </w:rPr>
        <w:t xml:space="preserve">: </w:t>
      </w:r>
    </w:p>
    <w:p w14:paraId="658460C6" w14:textId="77777777" w:rsidR="00973FE4" w:rsidRPr="00045946" w:rsidRDefault="00973FE4" w:rsidP="00045946">
      <w:pPr>
        <w:shd w:val="clear" w:color="auto" w:fill="FFFFFF"/>
        <w:spacing w:line="480" w:lineRule="auto"/>
        <w:rPr>
          <w:rFonts w:ascii="Garamond" w:hAnsi="Garamond"/>
          <w:color w:val="222222"/>
        </w:rPr>
      </w:pPr>
    </w:p>
    <w:p w14:paraId="228184DE" w14:textId="43FDE0F2" w:rsidR="00973FE4" w:rsidRPr="00D7469F" w:rsidRDefault="00756CED" w:rsidP="00D7469F">
      <w:pPr>
        <w:pStyle w:val="Heading2"/>
      </w:pPr>
      <w:r w:rsidRPr="00D7469F">
        <w:t>1</w:t>
      </w:r>
      <w:r w:rsidR="00973FE4" w:rsidRPr="00D7469F">
        <w:t xml:space="preserve">. </w:t>
      </w:r>
      <w:r w:rsidR="00C36BFE" w:rsidRPr="00D7469F">
        <w:t>Belonging</w:t>
      </w:r>
    </w:p>
    <w:p w14:paraId="245956F5" w14:textId="5AD25754" w:rsidR="007B1312" w:rsidRPr="00045946" w:rsidRDefault="00D44570" w:rsidP="00D7469F">
      <w:pPr>
        <w:shd w:val="clear" w:color="auto" w:fill="FFFFFF"/>
        <w:spacing w:line="480" w:lineRule="auto"/>
        <w:contextualSpacing/>
        <w:rPr>
          <w:rFonts w:ascii="Garamond" w:hAnsi="Garamond"/>
          <w:color w:val="222222"/>
        </w:rPr>
      </w:pPr>
      <w:r w:rsidRPr="00045946">
        <w:rPr>
          <w:rFonts w:ascii="Garamond" w:hAnsi="Garamond"/>
          <w:color w:val="222222"/>
        </w:rPr>
        <w:t>Renz</w:t>
      </w:r>
      <w:r w:rsidR="003650BF" w:rsidRPr="00045946">
        <w:rPr>
          <w:rFonts w:ascii="Garamond" w:hAnsi="Garamond"/>
          <w:color w:val="222222"/>
        </w:rPr>
        <w:t xml:space="preserve"> acknowledges the </w:t>
      </w:r>
      <w:r w:rsidR="002F1A5B" w:rsidRPr="00045946">
        <w:rPr>
          <w:rFonts w:ascii="Garamond" w:hAnsi="Garamond"/>
          <w:color w:val="222222"/>
        </w:rPr>
        <w:t>adaptability</w:t>
      </w:r>
      <w:r w:rsidR="003650BF" w:rsidRPr="00045946">
        <w:rPr>
          <w:rFonts w:ascii="Garamond" w:hAnsi="Garamond"/>
          <w:color w:val="222222"/>
        </w:rPr>
        <w:t xml:space="preserve"> of schools</w:t>
      </w:r>
      <w:r w:rsidR="002F1A5B" w:rsidRPr="00045946">
        <w:rPr>
          <w:rFonts w:ascii="Garamond" w:hAnsi="Garamond"/>
          <w:color w:val="222222"/>
        </w:rPr>
        <w:t xml:space="preserve"> </w:t>
      </w:r>
      <w:r w:rsidR="007B1312" w:rsidRPr="00045946">
        <w:rPr>
          <w:rFonts w:ascii="Garamond" w:hAnsi="Garamond"/>
          <w:color w:val="222222"/>
        </w:rPr>
        <w:t>in that</w:t>
      </w:r>
      <w:r w:rsidR="00FF026E" w:rsidRPr="00045946">
        <w:rPr>
          <w:rFonts w:ascii="Garamond" w:hAnsi="Garamond"/>
          <w:color w:val="222222"/>
        </w:rPr>
        <w:t xml:space="preserve"> they enact </w:t>
      </w:r>
      <w:r w:rsidR="002F1A5B" w:rsidRPr="00045946">
        <w:rPr>
          <w:rFonts w:ascii="Garamond" w:hAnsi="Garamond"/>
          <w:color w:val="222222"/>
        </w:rPr>
        <w:t xml:space="preserve">a </w:t>
      </w:r>
      <w:r w:rsidR="002F1A5B" w:rsidRPr="00045946">
        <w:rPr>
          <w:rFonts w:ascii="Garamond" w:hAnsi="Garamond"/>
          <w:color w:val="000000"/>
        </w:rPr>
        <w:t>more flexible reading of gender than is currently being accommodated in law</w:t>
      </w:r>
      <w:r w:rsidR="003650BF" w:rsidRPr="00045946">
        <w:rPr>
          <w:rFonts w:ascii="Garamond" w:hAnsi="Garamond"/>
          <w:color w:val="222222"/>
        </w:rPr>
        <w:t xml:space="preserve">. This </w:t>
      </w:r>
      <w:r w:rsidR="00FF026E" w:rsidRPr="00045946">
        <w:rPr>
          <w:rFonts w:ascii="Garamond" w:hAnsi="Garamond"/>
          <w:color w:val="222222"/>
        </w:rPr>
        <w:t xml:space="preserve">also </w:t>
      </w:r>
      <w:r w:rsidR="003650BF" w:rsidRPr="00045946">
        <w:rPr>
          <w:rFonts w:ascii="Garamond" w:hAnsi="Garamond"/>
          <w:color w:val="222222"/>
        </w:rPr>
        <w:t xml:space="preserve">echoes </w:t>
      </w:r>
      <w:r w:rsidR="007B1312" w:rsidRPr="00045946">
        <w:rPr>
          <w:rFonts w:ascii="Garamond" w:hAnsi="Garamond"/>
          <w:color w:val="222222"/>
        </w:rPr>
        <w:t xml:space="preserve">Dean </w:t>
      </w:r>
      <w:r w:rsidR="003650BF" w:rsidRPr="00045946">
        <w:rPr>
          <w:rFonts w:ascii="Garamond" w:hAnsi="Garamond"/>
          <w:color w:val="222222"/>
        </w:rPr>
        <w:t>Spade’s point that</w:t>
      </w:r>
      <w:r w:rsidR="000A19D8" w:rsidRPr="00045946">
        <w:rPr>
          <w:rFonts w:ascii="Garamond" w:hAnsi="Garamond"/>
          <w:color w:val="222222"/>
        </w:rPr>
        <w:t xml:space="preserve"> in sex-segregated facilities,</w:t>
      </w:r>
      <w:r w:rsidR="003650BF" w:rsidRPr="00045946">
        <w:rPr>
          <w:rFonts w:ascii="Garamond" w:hAnsi="Garamond"/>
          <w:color w:val="222222"/>
        </w:rPr>
        <w:t xml:space="preserve"> </w:t>
      </w:r>
      <w:r w:rsidR="000A19D8" w:rsidRPr="00045946">
        <w:rPr>
          <w:rFonts w:ascii="Garamond" w:hAnsi="Garamond"/>
          <w:color w:val="222222"/>
        </w:rPr>
        <w:t>“</w:t>
      </w:r>
      <w:r w:rsidR="003650BF" w:rsidRPr="00045946">
        <w:rPr>
          <w:rFonts w:ascii="Garamond" w:hAnsi="Garamond"/>
          <w:color w:val="222222"/>
        </w:rPr>
        <w:t>[s]</w:t>
      </w:r>
      <w:proofErr w:type="spellStart"/>
      <w:r w:rsidR="003650BF" w:rsidRPr="00045946">
        <w:rPr>
          <w:rFonts w:ascii="Garamond" w:hAnsi="Garamond"/>
          <w:color w:val="222222"/>
        </w:rPr>
        <w:t>uch</w:t>
      </w:r>
      <w:proofErr w:type="spellEnd"/>
      <w:r w:rsidR="003650BF" w:rsidRPr="00045946">
        <w:rPr>
          <w:rFonts w:ascii="Garamond" w:hAnsi="Garamond"/>
          <w:color w:val="222222"/>
        </w:rPr>
        <w:t xml:space="preserve"> determinations about what constitutes </w:t>
      </w:r>
      <w:r w:rsidR="00415609" w:rsidRPr="00045946">
        <w:rPr>
          <w:rFonts w:ascii="Garamond" w:hAnsi="Garamond"/>
          <w:color w:val="222222"/>
        </w:rPr>
        <w:t>‘</w:t>
      </w:r>
      <w:r w:rsidR="003650BF" w:rsidRPr="00045946">
        <w:rPr>
          <w:rFonts w:ascii="Garamond" w:hAnsi="Garamond"/>
          <w:color w:val="222222"/>
        </w:rPr>
        <w:t>male</w:t>
      </w:r>
      <w:r w:rsidR="00415609" w:rsidRPr="00045946">
        <w:rPr>
          <w:rFonts w:ascii="Garamond" w:hAnsi="Garamond"/>
          <w:color w:val="222222"/>
        </w:rPr>
        <w:t>’</w:t>
      </w:r>
      <w:r w:rsidR="003650BF" w:rsidRPr="00045946">
        <w:rPr>
          <w:rFonts w:ascii="Garamond" w:hAnsi="Garamond"/>
          <w:color w:val="222222"/>
        </w:rPr>
        <w:t xml:space="preserve"> or </w:t>
      </w:r>
      <w:r w:rsidR="00415609" w:rsidRPr="00045946">
        <w:rPr>
          <w:rFonts w:ascii="Garamond" w:hAnsi="Garamond"/>
          <w:color w:val="222222"/>
        </w:rPr>
        <w:t>‘</w:t>
      </w:r>
      <w:r w:rsidR="003650BF" w:rsidRPr="00045946">
        <w:rPr>
          <w:rFonts w:ascii="Garamond" w:hAnsi="Garamond"/>
          <w:color w:val="222222"/>
        </w:rPr>
        <w:t>female</w:t>
      </w:r>
      <w:r w:rsidR="00415609" w:rsidRPr="00045946">
        <w:rPr>
          <w:rFonts w:ascii="Garamond" w:hAnsi="Garamond"/>
          <w:color w:val="222222"/>
        </w:rPr>
        <w:t>’</w:t>
      </w:r>
      <w:r w:rsidR="003650BF" w:rsidRPr="00045946">
        <w:rPr>
          <w:rFonts w:ascii="Garamond" w:hAnsi="Garamond"/>
          <w:color w:val="222222"/>
        </w:rPr>
        <w:t xml:space="preserve"> for purposes of placement are more frequently made through on-the-spot judgments or assessments of low-level decision-makers</w:t>
      </w:r>
      <w:r w:rsidR="002F1A5B" w:rsidRPr="00045946">
        <w:rPr>
          <w:rFonts w:ascii="Garamond" w:hAnsi="Garamond"/>
          <w:color w:val="222222"/>
        </w:rPr>
        <w:t>”</w:t>
      </w:r>
      <w:r w:rsidR="000A19D8" w:rsidRPr="00045946">
        <w:rPr>
          <w:rFonts w:ascii="Garamond" w:hAnsi="Garamond"/>
          <w:color w:val="222222"/>
        </w:rPr>
        <w:t xml:space="preserve"> (2008: 775).</w:t>
      </w:r>
      <w:r w:rsidR="002F1A5B" w:rsidRPr="00045946">
        <w:rPr>
          <w:rFonts w:ascii="Garamond" w:hAnsi="Garamond"/>
          <w:color w:val="222222"/>
        </w:rPr>
        <w:t xml:space="preserve"> </w:t>
      </w:r>
      <w:r w:rsidR="007B1312" w:rsidRPr="00045946">
        <w:rPr>
          <w:rFonts w:ascii="Garamond" w:hAnsi="Garamond"/>
          <w:color w:val="222222"/>
        </w:rPr>
        <w:t xml:space="preserve">As Renz’s analysis of the interview material highlights, decision-making is not always transparent and is made on a case-by-case approach, </w:t>
      </w:r>
      <w:r w:rsidR="007B1312" w:rsidRPr="00045946">
        <w:rPr>
          <w:rFonts w:ascii="Garamond" w:hAnsi="Garamond"/>
          <w:color w:val="000000"/>
        </w:rPr>
        <w:t xml:space="preserve">partially to align with the importance placed on inclusivity and community. </w:t>
      </w:r>
      <w:r w:rsidR="0004601C" w:rsidRPr="00045946">
        <w:rPr>
          <w:rFonts w:ascii="Garamond" w:hAnsi="Garamond"/>
          <w:color w:val="222222"/>
        </w:rPr>
        <w:t>However,</w:t>
      </w:r>
      <w:r w:rsidR="007B1312" w:rsidRPr="00045946">
        <w:rPr>
          <w:rFonts w:ascii="Garamond" w:hAnsi="Garamond"/>
          <w:color w:val="222222"/>
        </w:rPr>
        <w:t xml:space="preserve"> because of this lack of transparency, it also forces us to ask what exactly is happening on the ground</w:t>
      </w:r>
      <w:r w:rsidR="00B0106B" w:rsidRPr="00045946">
        <w:rPr>
          <w:rFonts w:ascii="Garamond" w:hAnsi="Garamond"/>
          <w:color w:val="222222"/>
        </w:rPr>
        <w:t xml:space="preserve">, especially given that in many contexts, as academic and activist work has shown, LGBT students are treated differently by students and teachers </w:t>
      </w:r>
      <w:r w:rsidR="00B17CAD">
        <w:rPr>
          <w:rFonts w:ascii="Garamond" w:hAnsi="Garamond"/>
          <w:color w:val="222222"/>
        </w:rPr>
        <w:t>from</w:t>
      </w:r>
      <w:r w:rsidR="00B0106B" w:rsidRPr="00045946">
        <w:rPr>
          <w:rFonts w:ascii="Garamond" w:hAnsi="Garamond"/>
          <w:color w:val="222222"/>
        </w:rPr>
        <w:t xml:space="preserve"> their cisgender, heterosexual peers.</w:t>
      </w:r>
      <w:r w:rsidR="007B1312" w:rsidRPr="00045946">
        <w:rPr>
          <w:rFonts w:ascii="Garamond" w:hAnsi="Garamond"/>
          <w:color w:val="222222"/>
        </w:rPr>
        <w:t xml:space="preserve"> </w:t>
      </w:r>
      <w:r w:rsidR="0004601C" w:rsidRPr="00045946">
        <w:rPr>
          <w:rFonts w:ascii="Garamond" w:hAnsi="Garamond"/>
          <w:color w:val="000000"/>
        </w:rPr>
        <w:t xml:space="preserve">Being part of a community means ensuring that students feel valued within their school environment, but </w:t>
      </w:r>
      <w:r w:rsidR="0004601C" w:rsidRPr="00045946">
        <w:rPr>
          <w:rFonts w:ascii="Garamond" w:hAnsi="Garamond"/>
        </w:rPr>
        <w:t xml:space="preserve">feeling valued means being accepted in one’s gender identity. </w:t>
      </w:r>
      <w:r w:rsidR="007B1312" w:rsidRPr="00045946">
        <w:rPr>
          <w:rFonts w:ascii="Garamond" w:hAnsi="Garamond"/>
          <w:color w:val="222222"/>
        </w:rPr>
        <w:t xml:space="preserve">Do trans and non-binary students feel a sense of belonging at single-sex institutions? </w:t>
      </w:r>
    </w:p>
    <w:p w14:paraId="1F2C5C84" w14:textId="0495804A" w:rsidR="00EA4D56" w:rsidRPr="00045946" w:rsidRDefault="00B0106B" w:rsidP="00045946">
      <w:pPr>
        <w:shd w:val="clear" w:color="auto" w:fill="FFFFFF"/>
        <w:spacing w:before="100" w:beforeAutospacing="1" w:after="100" w:afterAutospacing="1" w:line="480" w:lineRule="auto"/>
        <w:ind w:firstLine="720"/>
        <w:contextualSpacing/>
        <w:rPr>
          <w:rFonts w:ascii="Garamond" w:hAnsi="Garamond"/>
          <w:color w:val="222222"/>
        </w:rPr>
      </w:pPr>
      <w:r w:rsidRPr="00045946">
        <w:rPr>
          <w:rFonts w:ascii="Garamond" w:hAnsi="Garamond"/>
          <w:color w:val="222222"/>
        </w:rPr>
        <w:t>Moreover, i</w:t>
      </w:r>
      <w:r w:rsidR="003650BF" w:rsidRPr="00045946">
        <w:rPr>
          <w:rFonts w:ascii="Garamond" w:hAnsi="Garamond"/>
          <w:color w:val="222222"/>
        </w:rPr>
        <w:t>n</w:t>
      </w:r>
      <w:r w:rsidR="00415609" w:rsidRPr="00045946">
        <w:rPr>
          <w:rFonts w:ascii="Garamond" w:hAnsi="Garamond"/>
          <w:color w:val="222222"/>
        </w:rPr>
        <w:t xml:space="preserve"> terms of in</w:t>
      </w:r>
      <w:r w:rsidR="003650BF" w:rsidRPr="00045946">
        <w:rPr>
          <w:rFonts w:ascii="Garamond" w:hAnsi="Garamond"/>
          <w:color w:val="222222"/>
        </w:rPr>
        <w:t>clusivity and community values</w:t>
      </w:r>
      <w:r w:rsidR="00415609" w:rsidRPr="00045946">
        <w:rPr>
          <w:rFonts w:ascii="Garamond" w:hAnsi="Garamond"/>
          <w:color w:val="222222"/>
        </w:rPr>
        <w:t>,</w:t>
      </w:r>
      <w:r w:rsidR="003650BF" w:rsidRPr="00045946">
        <w:rPr>
          <w:rFonts w:ascii="Garamond" w:hAnsi="Garamond"/>
          <w:color w:val="222222"/>
        </w:rPr>
        <w:t xml:space="preserve"> it makes sense that single-sex institutions find solutions for when a member of the community transitions, but what about when a trans student tries to gain entry into this institution </w:t>
      </w:r>
      <w:r w:rsidR="00DC0DC4" w:rsidRPr="00045946">
        <w:rPr>
          <w:rFonts w:ascii="Garamond" w:hAnsi="Garamond"/>
          <w:color w:val="222222"/>
        </w:rPr>
        <w:t xml:space="preserve">either </w:t>
      </w:r>
      <w:r w:rsidR="00415609" w:rsidRPr="00045946">
        <w:rPr>
          <w:rFonts w:ascii="Garamond" w:hAnsi="Garamond"/>
          <w:color w:val="222222"/>
        </w:rPr>
        <w:t xml:space="preserve">(1) </w:t>
      </w:r>
      <w:r w:rsidR="003650BF" w:rsidRPr="00045946">
        <w:rPr>
          <w:rFonts w:ascii="Garamond" w:hAnsi="Garamond"/>
          <w:color w:val="222222"/>
        </w:rPr>
        <w:t xml:space="preserve">based on their gender identity but </w:t>
      </w:r>
      <w:r w:rsidR="00415609" w:rsidRPr="00045946">
        <w:rPr>
          <w:rFonts w:ascii="Garamond" w:hAnsi="Garamond"/>
          <w:color w:val="222222"/>
        </w:rPr>
        <w:t>that</w:t>
      </w:r>
      <w:r w:rsidR="003650BF" w:rsidRPr="00045946">
        <w:rPr>
          <w:rFonts w:ascii="Garamond" w:hAnsi="Garamond"/>
          <w:color w:val="222222"/>
        </w:rPr>
        <w:t xml:space="preserve"> </w:t>
      </w:r>
      <w:r w:rsidR="00014D03" w:rsidRPr="00045946">
        <w:rPr>
          <w:rFonts w:ascii="Garamond" w:hAnsi="Garamond"/>
          <w:color w:val="222222"/>
        </w:rPr>
        <w:lastRenderedPageBreak/>
        <w:t xml:space="preserve">gender </w:t>
      </w:r>
      <w:r w:rsidR="003650BF" w:rsidRPr="00045946">
        <w:rPr>
          <w:rFonts w:ascii="Garamond" w:hAnsi="Garamond"/>
          <w:color w:val="222222"/>
        </w:rPr>
        <w:t>not matching their birth certificate (for example, a trans girl</w:t>
      </w:r>
      <w:r w:rsidR="00415609" w:rsidRPr="00045946">
        <w:rPr>
          <w:rFonts w:ascii="Garamond" w:hAnsi="Garamond"/>
          <w:color w:val="222222"/>
        </w:rPr>
        <w:t xml:space="preserve"> wanting to enroll in a girls’ school</w:t>
      </w:r>
      <w:r w:rsidR="003650BF" w:rsidRPr="00045946">
        <w:rPr>
          <w:rFonts w:ascii="Garamond" w:hAnsi="Garamond"/>
          <w:color w:val="222222"/>
        </w:rPr>
        <w:t>)</w:t>
      </w:r>
      <w:r w:rsidR="007B1312" w:rsidRPr="00045946">
        <w:rPr>
          <w:rFonts w:ascii="Garamond" w:hAnsi="Garamond"/>
          <w:color w:val="222222"/>
        </w:rPr>
        <w:t>,</w:t>
      </w:r>
      <w:r w:rsidR="003650BF" w:rsidRPr="00045946">
        <w:rPr>
          <w:rFonts w:ascii="Garamond" w:hAnsi="Garamond"/>
          <w:color w:val="222222"/>
        </w:rPr>
        <w:t xml:space="preserve"> </w:t>
      </w:r>
      <w:r w:rsidR="00415609" w:rsidRPr="00045946">
        <w:rPr>
          <w:rFonts w:ascii="Garamond" w:hAnsi="Garamond"/>
          <w:color w:val="222222"/>
        </w:rPr>
        <w:t>or</w:t>
      </w:r>
      <w:r w:rsidR="003650BF" w:rsidRPr="00045946">
        <w:rPr>
          <w:rFonts w:ascii="Garamond" w:hAnsi="Garamond"/>
          <w:color w:val="222222"/>
        </w:rPr>
        <w:t xml:space="preserve"> </w:t>
      </w:r>
      <w:r w:rsidR="00415609" w:rsidRPr="00045946">
        <w:rPr>
          <w:rFonts w:ascii="Garamond" w:hAnsi="Garamond"/>
          <w:color w:val="222222"/>
        </w:rPr>
        <w:t xml:space="preserve">(2) </w:t>
      </w:r>
      <w:r w:rsidR="003650BF" w:rsidRPr="00045946">
        <w:rPr>
          <w:rFonts w:ascii="Garamond" w:hAnsi="Garamond"/>
          <w:color w:val="222222"/>
        </w:rPr>
        <w:t xml:space="preserve">based on their </w:t>
      </w:r>
      <w:r w:rsidR="00925B1A" w:rsidRPr="00045946">
        <w:rPr>
          <w:rFonts w:ascii="Garamond" w:hAnsi="Garamond"/>
          <w:color w:val="222222"/>
        </w:rPr>
        <w:t>sex</w:t>
      </w:r>
      <w:r w:rsidR="003650BF" w:rsidRPr="00045946">
        <w:rPr>
          <w:rFonts w:ascii="Garamond" w:hAnsi="Garamond"/>
          <w:color w:val="222222"/>
        </w:rPr>
        <w:t xml:space="preserve"> assigned at birth but not their gender identity (for example, a student assigned female at birth who identifies as a boy, as non-binary, or as agender</w:t>
      </w:r>
      <w:r w:rsidR="00014D03" w:rsidRPr="00045946">
        <w:rPr>
          <w:rFonts w:ascii="Garamond" w:hAnsi="Garamond"/>
          <w:color w:val="222222"/>
        </w:rPr>
        <w:t>, attempting to attend a girls’ school</w:t>
      </w:r>
      <w:r w:rsidR="003650BF" w:rsidRPr="00045946">
        <w:rPr>
          <w:rFonts w:ascii="Garamond" w:hAnsi="Garamond"/>
          <w:color w:val="222222"/>
        </w:rPr>
        <w:t>)</w:t>
      </w:r>
      <w:r w:rsidR="000A19D8" w:rsidRPr="00045946">
        <w:rPr>
          <w:rFonts w:ascii="Garamond" w:hAnsi="Garamond"/>
          <w:color w:val="222222"/>
        </w:rPr>
        <w:t>?</w:t>
      </w:r>
      <w:r w:rsidR="00925B1A" w:rsidRPr="00045946">
        <w:rPr>
          <w:rFonts w:ascii="Garamond" w:hAnsi="Garamond"/>
          <w:color w:val="222222"/>
        </w:rPr>
        <w:t xml:space="preserve"> </w:t>
      </w:r>
      <w:r w:rsidR="00EA4D56" w:rsidRPr="00045946">
        <w:rPr>
          <w:rFonts w:ascii="Garamond" w:hAnsi="Garamond"/>
          <w:color w:val="222222"/>
        </w:rPr>
        <w:t>While a student transitioning</w:t>
      </w:r>
      <w:r w:rsidR="00EA4D56" w:rsidRPr="00045946">
        <w:rPr>
          <w:rFonts w:ascii="Garamond" w:hAnsi="Garamond"/>
          <w:color w:val="000000"/>
        </w:rPr>
        <w:t xml:space="preserve"> to a gender that does not align with a school’s single-sex mission often continue</w:t>
      </w:r>
      <w:r w:rsidR="007B1312" w:rsidRPr="00045946">
        <w:rPr>
          <w:rFonts w:ascii="Garamond" w:hAnsi="Garamond"/>
          <w:color w:val="000000"/>
        </w:rPr>
        <w:t>s</w:t>
      </w:r>
      <w:r w:rsidR="00EA4D56" w:rsidRPr="00045946">
        <w:rPr>
          <w:rFonts w:ascii="Garamond" w:hAnsi="Garamond"/>
          <w:color w:val="000000"/>
        </w:rPr>
        <w:t xml:space="preserve"> to belong to the school community, I wonder </w:t>
      </w:r>
      <w:r w:rsidR="00EA4D56" w:rsidRPr="00045946">
        <w:rPr>
          <w:rFonts w:ascii="Garamond" w:hAnsi="Garamond"/>
        </w:rPr>
        <w:t xml:space="preserve">about students who transition </w:t>
      </w:r>
      <w:r w:rsidR="005C6A95">
        <w:rPr>
          <w:rFonts w:ascii="Garamond" w:hAnsi="Garamond"/>
          <w:i/>
          <w:iCs/>
        </w:rPr>
        <w:t xml:space="preserve">prior </w:t>
      </w:r>
      <w:r w:rsidR="005C6A95">
        <w:rPr>
          <w:rFonts w:ascii="Garamond" w:hAnsi="Garamond"/>
        </w:rPr>
        <w:t>to arriving</w:t>
      </w:r>
      <w:r w:rsidR="00EA4D56" w:rsidRPr="00045946">
        <w:rPr>
          <w:rFonts w:ascii="Garamond" w:hAnsi="Garamond"/>
        </w:rPr>
        <w:t xml:space="preserve"> at that school and want to be part of this single-sex environment based on their gender identity</w:t>
      </w:r>
      <w:r w:rsidR="000A19D8" w:rsidRPr="00045946">
        <w:rPr>
          <w:rFonts w:ascii="Garamond" w:hAnsi="Garamond"/>
        </w:rPr>
        <w:t>.</w:t>
      </w:r>
      <w:r w:rsidR="00EA4D56" w:rsidRPr="00045946">
        <w:rPr>
          <w:rFonts w:ascii="Garamond" w:hAnsi="Garamond"/>
        </w:rPr>
        <w:t xml:space="preserve"> </w:t>
      </w:r>
      <w:r w:rsidR="000A19D8" w:rsidRPr="00045946">
        <w:rPr>
          <w:rFonts w:ascii="Garamond" w:hAnsi="Garamond"/>
        </w:rPr>
        <w:t xml:space="preserve">That is, what mechanisms are at play </w:t>
      </w:r>
      <w:r w:rsidR="00EA4D56" w:rsidRPr="00045946">
        <w:rPr>
          <w:rFonts w:ascii="Garamond" w:hAnsi="Garamond"/>
        </w:rPr>
        <w:t>before they become part of the community?</w:t>
      </w:r>
      <w:r w:rsidR="00925B1A" w:rsidRPr="00045946">
        <w:rPr>
          <w:rFonts w:ascii="Garamond" w:hAnsi="Garamond"/>
        </w:rPr>
        <w:t xml:space="preserve"> </w:t>
      </w:r>
    </w:p>
    <w:p w14:paraId="224BF7EA" w14:textId="77777777" w:rsidR="00973FE4" w:rsidRPr="00045946" w:rsidRDefault="00973FE4" w:rsidP="00045946">
      <w:pPr>
        <w:shd w:val="clear" w:color="auto" w:fill="FFFFFF"/>
        <w:spacing w:line="480" w:lineRule="auto"/>
        <w:rPr>
          <w:rFonts w:ascii="Garamond" w:hAnsi="Garamond"/>
          <w:color w:val="222222"/>
        </w:rPr>
      </w:pPr>
    </w:p>
    <w:p w14:paraId="70EA1739" w14:textId="176FC421" w:rsidR="00973FE4" w:rsidRPr="00D7469F" w:rsidRDefault="00756CED" w:rsidP="00D7469F">
      <w:pPr>
        <w:pStyle w:val="Heading2"/>
      </w:pPr>
      <w:r w:rsidRPr="00D7469F">
        <w:t>2</w:t>
      </w:r>
      <w:r w:rsidR="00973FE4" w:rsidRPr="00D7469F">
        <w:t xml:space="preserve">. Safe spaces </w:t>
      </w:r>
    </w:p>
    <w:p w14:paraId="69BC6D43" w14:textId="2DF92E50" w:rsidR="003E4143" w:rsidRPr="00045946" w:rsidRDefault="003650BF" w:rsidP="00045946">
      <w:pPr>
        <w:shd w:val="clear" w:color="auto" w:fill="FFFFFF"/>
        <w:spacing w:line="480" w:lineRule="auto"/>
        <w:rPr>
          <w:rFonts w:ascii="Garamond" w:hAnsi="Garamond"/>
          <w:color w:val="222222"/>
        </w:rPr>
      </w:pPr>
      <w:r w:rsidRPr="00045946">
        <w:rPr>
          <w:rFonts w:ascii="Garamond" w:hAnsi="Garamond"/>
        </w:rPr>
        <w:t xml:space="preserve">It is </w:t>
      </w:r>
      <w:r w:rsidR="00DC0DC4" w:rsidRPr="00045946">
        <w:rPr>
          <w:rFonts w:ascii="Garamond" w:hAnsi="Garamond"/>
        </w:rPr>
        <w:t xml:space="preserve">perhaps </w:t>
      </w:r>
      <w:r w:rsidRPr="00045946">
        <w:rPr>
          <w:rFonts w:ascii="Garamond" w:hAnsi="Garamond"/>
        </w:rPr>
        <w:t xml:space="preserve">ironic that girls’ schools could be </w:t>
      </w:r>
      <w:r w:rsidR="00DC0DC4" w:rsidRPr="00045946">
        <w:rPr>
          <w:rFonts w:ascii="Garamond" w:hAnsi="Garamond"/>
        </w:rPr>
        <w:t xml:space="preserve">positioned as </w:t>
      </w:r>
      <w:r w:rsidRPr="00045946">
        <w:rPr>
          <w:rFonts w:ascii="Garamond" w:hAnsi="Garamond"/>
        </w:rPr>
        <w:t>a site to instigate broader societal change given that the notion of women’s spaces has been</w:t>
      </w:r>
      <w:r w:rsidR="00733E8A" w:rsidRPr="00045946">
        <w:rPr>
          <w:rFonts w:ascii="Garamond" w:hAnsi="Garamond"/>
        </w:rPr>
        <w:t xml:space="preserve"> – </w:t>
      </w:r>
      <w:r w:rsidR="00B0106B" w:rsidRPr="00045946">
        <w:rPr>
          <w:rFonts w:ascii="Garamond" w:hAnsi="Garamond"/>
        </w:rPr>
        <w:t>and continues to be</w:t>
      </w:r>
      <w:r w:rsidR="00733E8A" w:rsidRPr="00045946">
        <w:rPr>
          <w:rFonts w:ascii="Garamond" w:hAnsi="Garamond"/>
        </w:rPr>
        <w:t xml:space="preserve"> – </w:t>
      </w:r>
      <w:r w:rsidRPr="00045946">
        <w:rPr>
          <w:rFonts w:ascii="Garamond" w:hAnsi="Garamond"/>
        </w:rPr>
        <w:t>so vitriolically debated</w:t>
      </w:r>
      <w:r w:rsidR="00B0106B" w:rsidRPr="00045946">
        <w:rPr>
          <w:rFonts w:ascii="Garamond" w:hAnsi="Garamond"/>
        </w:rPr>
        <w:t xml:space="preserve"> in England and elsewhere</w:t>
      </w:r>
      <w:r w:rsidRPr="00045946">
        <w:rPr>
          <w:rFonts w:ascii="Garamond" w:hAnsi="Garamond"/>
        </w:rPr>
        <w:t>.</w:t>
      </w:r>
      <w:r w:rsidR="001815D0" w:rsidRPr="00045946">
        <w:rPr>
          <w:rFonts w:ascii="Garamond" w:hAnsi="Garamond"/>
        </w:rPr>
        <w:t xml:space="preserve"> The paper </w:t>
      </w:r>
      <w:r w:rsidR="00B0106B" w:rsidRPr="00045946">
        <w:rPr>
          <w:rFonts w:ascii="Garamond" w:hAnsi="Garamond"/>
        </w:rPr>
        <w:t>puts forth the idea</w:t>
      </w:r>
      <w:r w:rsidR="001815D0" w:rsidRPr="00045946">
        <w:rPr>
          <w:rFonts w:ascii="Garamond" w:hAnsi="Garamond"/>
        </w:rPr>
        <w:t xml:space="preserve"> that</w:t>
      </w:r>
      <w:r w:rsidR="003E4143" w:rsidRPr="00045946">
        <w:rPr>
          <w:rFonts w:ascii="Garamond" w:hAnsi="Garamond"/>
        </w:rPr>
        <w:t xml:space="preserve"> </w:t>
      </w:r>
      <w:r w:rsidR="003E4143" w:rsidRPr="00045946">
        <w:rPr>
          <w:rFonts w:ascii="Garamond" w:hAnsi="Garamond"/>
          <w:color w:val="000000"/>
        </w:rPr>
        <w:t xml:space="preserve">spaces that are </w:t>
      </w:r>
      <w:r w:rsidR="001815D0" w:rsidRPr="00045946">
        <w:rPr>
          <w:rFonts w:ascii="Garamond" w:hAnsi="Garamond"/>
          <w:color w:val="000000"/>
        </w:rPr>
        <w:t xml:space="preserve">designated </w:t>
      </w:r>
      <w:r w:rsidR="003E4143" w:rsidRPr="00045946">
        <w:rPr>
          <w:rFonts w:ascii="Garamond" w:hAnsi="Garamond"/>
          <w:color w:val="000000"/>
        </w:rPr>
        <w:t xml:space="preserve">as single </w:t>
      </w:r>
      <w:r w:rsidR="001815D0" w:rsidRPr="00045946">
        <w:rPr>
          <w:rFonts w:ascii="Garamond" w:hAnsi="Garamond"/>
          <w:color w:val="000000"/>
        </w:rPr>
        <w:t>sex</w:t>
      </w:r>
      <w:r w:rsidR="003E4143" w:rsidRPr="00045946">
        <w:rPr>
          <w:rFonts w:ascii="Garamond" w:hAnsi="Garamond"/>
          <w:color w:val="000000"/>
        </w:rPr>
        <w:t xml:space="preserve"> </w:t>
      </w:r>
      <w:r w:rsidR="00B0106B" w:rsidRPr="00045946">
        <w:rPr>
          <w:rFonts w:ascii="Garamond" w:hAnsi="Garamond"/>
          <w:color w:val="000000"/>
        </w:rPr>
        <w:t>could</w:t>
      </w:r>
      <w:r w:rsidR="003E4143" w:rsidRPr="00045946">
        <w:rPr>
          <w:rFonts w:ascii="Garamond" w:hAnsi="Garamond"/>
          <w:color w:val="000000"/>
        </w:rPr>
        <w:t xml:space="preserve"> </w:t>
      </w:r>
      <w:r w:rsidR="00756CED" w:rsidRPr="00045946">
        <w:rPr>
          <w:rFonts w:ascii="Garamond" w:hAnsi="Garamond"/>
          <w:color w:val="000000"/>
        </w:rPr>
        <w:t>actually</w:t>
      </w:r>
      <w:r w:rsidR="003E4143" w:rsidRPr="00045946">
        <w:rPr>
          <w:rFonts w:ascii="Garamond" w:hAnsi="Garamond"/>
          <w:color w:val="000000"/>
        </w:rPr>
        <w:t xml:space="preserve"> </w:t>
      </w:r>
      <w:r w:rsidR="00756CED" w:rsidRPr="00045946">
        <w:rPr>
          <w:rFonts w:ascii="Garamond" w:hAnsi="Garamond"/>
          <w:color w:val="000000"/>
        </w:rPr>
        <w:t>“</w:t>
      </w:r>
      <w:r w:rsidR="003E4143" w:rsidRPr="00045946">
        <w:rPr>
          <w:rFonts w:ascii="Garamond" w:hAnsi="Garamond"/>
          <w:color w:val="000000"/>
        </w:rPr>
        <w:t xml:space="preserve">allow greater freedom from gender binaries without an opposite </w:t>
      </w:r>
      <w:r w:rsidR="001815D0" w:rsidRPr="00045946">
        <w:rPr>
          <w:rFonts w:ascii="Garamond" w:hAnsi="Garamond"/>
          <w:color w:val="000000"/>
        </w:rPr>
        <w:t>‘</w:t>
      </w:r>
      <w:r w:rsidR="003E4143" w:rsidRPr="00045946">
        <w:rPr>
          <w:rFonts w:ascii="Garamond" w:hAnsi="Garamond"/>
          <w:color w:val="000000"/>
        </w:rPr>
        <w:t>other</w:t>
      </w:r>
      <w:r w:rsidR="001815D0" w:rsidRPr="00045946">
        <w:rPr>
          <w:rFonts w:ascii="Garamond" w:hAnsi="Garamond"/>
          <w:color w:val="000000"/>
        </w:rPr>
        <w:t>’</w:t>
      </w:r>
      <w:r w:rsidR="003E4143" w:rsidRPr="00045946">
        <w:rPr>
          <w:rFonts w:ascii="Garamond" w:hAnsi="Garamond"/>
          <w:color w:val="000000"/>
        </w:rPr>
        <w:t xml:space="preserve"> to serve as an explicit boundary of gender norms</w:t>
      </w:r>
      <w:r w:rsidR="001815D0" w:rsidRPr="00045946">
        <w:rPr>
          <w:rFonts w:ascii="Garamond" w:hAnsi="Garamond"/>
          <w:color w:val="000000"/>
        </w:rPr>
        <w:t>”</w:t>
      </w:r>
      <w:r w:rsidR="00B17CAD">
        <w:rPr>
          <w:rFonts w:ascii="Garamond" w:hAnsi="Garamond"/>
          <w:color w:val="000000"/>
        </w:rPr>
        <w:t>.</w:t>
      </w:r>
      <w:r w:rsidR="001815D0" w:rsidRPr="00045946">
        <w:rPr>
          <w:rFonts w:ascii="Garamond" w:hAnsi="Garamond"/>
          <w:color w:val="000000"/>
        </w:rPr>
        <w:t xml:space="preserve"> </w:t>
      </w:r>
      <w:r w:rsidR="000A19D8" w:rsidRPr="00045946">
        <w:rPr>
          <w:rFonts w:ascii="Garamond" w:hAnsi="Garamond"/>
          <w:color w:val="000000"/>
        </w:rPr>
        <w:t xml:space="preserve">While on some levels this may be true, </w:t>
      </w:r>
      <w:r w:rsidR="001815D0" w:rsidRPr="00045946">
        <w:rPr>
          <w:rFonts w:ascii="Garamond" w:hAnsi="Garamond"/>
        </w:rPr>
        <w:t xml:space="preserve">there is also a long-standing past and present of women’s spaces not accommodating </w:t>
      </w:r>
      <w:r w:rsidR="00B0106B" w:rsidRPr="00045946">
        <w:rPr>
          <w:rFonts w:ascii="Garamond" w:hAnsi="Garamond"/>
        </w:rPr>
        <w:t>individuals</w:t>
      </w:r>
      <w:r w:rsidR="001815D0" w:rsidRPr="00045946">
        <w:rPr>
          <w:rFonts w:ascii="Garamond" w:hAnsi="Garamond"/>
        </w:rPr>
        <w:t xml:space="preserve"> outside </w:t>
      </w:r>
      <w:r w:rsidR="00B0106B" w:rsidRPr="00045946">
        <w:rPr>
          <w:rFonts w:ascii="Garamond" w:hAnsi="Garamond"/>
        </w:rPr>
        <w:t>“</w:t>
      </w:r>
      <w:r w:rsidR="001815D0" w:rsidRPr="00045946">
        <w:rPr>
          <w:rFonts w:ascii="Garamond" w:hAnsi="Garamond"/>
        </w:rPr>
        <w:t>women-born women</w:t>
      </w:r>
      <w:r w:rsidR="00B0106B" w:rsidRPr="00045946">
        <w:rPr>
          <w:rFonts w:ascii="Garamond" w:hAnsi="Garamond"/>
        </w:rPr>
        <w:t>”</w:t>
      </w:r>
      <w:r w:rsidR="001815D0" w:rsidRPr="00045946">
        <w:rPr>
          <w:rFonts w:ascii="Garamond" w:hAnsi="Garamond"/>
        </w:rPr>
        <w:t xml:space="preserve">. While </w:t>
      </w:r>
      <w:r w:rsidR="001815D0" w:rsidRPr="00045946">
        <w:rPr>
          <w:rFonts w:ascii="Garamond" w:hAnsi="Garamond"/>
          <w:color w:val="000000"/>
        </w:rPr>
        <w:t xml:space="preserve">women’s spaces may often allow trans men in, trans women continue to be marked as suspicious </w:t>
      </w:r>
      <w:r w:rsidR="00756CED" w:rsidRPr="00045946">
        <w:rPr>
          <w:rFonts w:ascii="Garamond" w:hAnsi="Garamond"/>
          <w:color w:val="000000"/>
        </w:rPr>
        <w:t>or</w:t>
      </w:r>
      <w:r w:rsidR="001815D0" w:rsidRPr="00045946">
        <w:rPr>
          <w:rFonts w:ascii="Garamond" w:hAnsi="Garamond"/>
          <w:color w:val="000000"/>
        </w:rPr>
        <w:t xml:space="preserve"> deceptive and are</w:t>
      </w:r>
      <w:r w:rsidR="00B1155C">
        <w:rPr>
          <w:rFonts w:ascii="Garamond" w:hAnsi="Garamond"/>
          <w:color w:val="000000"/>
        </w:rPr>
        <w:t xml:space="preserve"> often barred entry into women</w:t>
      </w:r>
      <w:r w:rsidR="00B0106B" w:rsidRPr="00045946">
        <w:rPr>
          <w:rFonts w:ascii="Garamond" w:hAnsi="Garamond"/>
          <w:color w:val="000000"/>
        </w:rPr>
        <w:t>-only</w:t>
      </w:r>
      <w:r w:rsidR="001815D0" w:rsidRPr="00045946">
        <w:rPr>
          <w:rFonts w:ascii="Garamond" w:hAnsi="Garamond"/>
          <w:color w:val="000000"/>
        </w:rPr>
        <w:t xml:space="preserve"> spaces</w:t>
      </w:r>
      <w:r w:rsidR="005C6A95">
        <w:rPr>
          <w:rFonts w:ascii="Garamond" w:hAnsi="Garamond"/>
          <w:color w:val="000000"/>
        </w:rPr>
        <w:t xml:space="preserve"> (</w:t>
      </w:r>
      <w:proofErr w:type="spellStart"/>
      <w:r w:rsidR="005C6A95">
        <w:rPr>
          <w:rFonts w:ascii="Garamond" w:hAnsi="Garamond"/>
          <w:color w:val="000000"/>
        </w:rPr>
        <w:t>Bettcher</w:t>
      </w:r>
      <w:proofErr w:type="spellEnd"/>
      <w:r w:rsidR="005C6A95">
        <w:rPr>
          <w:rFonts w:ascii="Garamond" w:hAnsi="Garamond"/>
          <w:color w:val="000000"/>
        </w:rPr>
        <w:t>, 2007)</w:t>
      </w:r>
      <w:r w:rsidR="001815D0" w:rsidRPr="00045946">
        <w:rPr>
          <w:rFonts w:ascii="Garamond" w:hAnsi="Garamond"/>
          <w:color w:val="000000"/>
        </w:rPr>
        <w:t>.</w:t>
      </w:r>
      <w:r w:rsidR="00484D0B" w:rsidRPr="00045946">
        <w:rPr>
          <w:rFonts w:ascii="Garamond" w:hAnsi="Garamond"/>
          <w:color w:val="000000"/>
        </w:rPr>
        <w:t xml:space="preserve"> </w:t>
      </w:r>
      <w:r w:rsidR="00B0106B" w:rsidRPr="00045946">
        <w:rPr>
          <w:rFonts w:ascii="Garamond" w:hAnsi="Garamond"/>
          <w:color w:val="222222"/>
        </w:rPr>
        <w:t>Furthermore, when discussing</w:t>
      </w:r>
      <w:r w:rsidR="00BF3A46" w:rsidRPr="00045946">
        <w:rPr>
          <w:rFonts w:ascii="Garamond" w:hAnsi="Garamond"/>
          <w:color w:val="222222"/>
        </w:rPr>
        <w:t xml:space="preserve"> single-sex institutions – which we might also call sex-segregated spaces – it seems to me that we </w:t>
      </w:r>
      <w:r w:rsidR="000A19D8" w:rsidRPr="00045946">
        <w:rPr>
          <w:rFonts w:ascii="Garamond" w:hAnsi="Garamond"/>
          <w:color w:val="222222"/>
        </w:rPr>
        <w:t>can</w:t>
      </w:r>
      <w:r w:rsidR="00BF3A46" w:rsidRPr="00045946">
        <w:rPr>
          <w:rFonts w:ascii="Garamond" w:hAnsi="Garamond"/>
          <w:color w:val="222222"/>
        </w:rPr>
        <w:t xml:space="preserve">not </w:t>
      </w:r>
      <w:r w:rsidR="000A19D8" w:rsidRPr="00045946">
        <w:rPr>
          <w:rFonts w:ascii="Garamond" w:hAnsi="Garamond"/>
          <w:color w:val="222222"/>
        </w:rPr>
        <w:t>draw conclusions only based on</w:t>
      </w:r>
      <w:r w:rsidR="00BF3A46" w:rsidRPr="00045946">
        <w:rPr>
          <w:rFonts w:ascii="Garamond" w:hAnsi="Garamond"/>
          <w:color w:val="222222"/>
        </w:rPr>
        <w:t xml:space="preserve"> schools but must</w:t>
      </w:r>
      <w:r w:rsidR="00756CED" w:rsidRPr="00045946">
        <w:rPr>
          <w:rFonts w:ascii="Garamond" w:hAnsi="Garamond"/>
          <w:color w:val="222222"/>
        </w:rPr>
        <w:t xml:space="preserve"> also</w:t>
      </w:r>
      <w:r w:rsidR="00BF3A46" w:rsidRPr="00045946">
        <w:rPr>
          <w:rFonts w:ascii="Garamond" w:hAnsi="Garamond"/>
          <w:color w:val="222222"/>
        </w:rPr>
        <w:t xml:space="preserve"> look to other places in which binary gender structures and limits our worlds</w:t>
      </w:r>
      <w:r w:rsidR="000A19D8" w:rsidRPr="00045946">
        <w:rPr>
          <w:rFonts w:ascii="Garamond" w:hAnsi="Garamond"/>
          <w:color w:val="222222"/>
        </w:rPr>
        <w:t xml:space="preserve">, including </w:t>
      </w:r>
      <w:r w:rsidR="00BF3A46" w:rsidRPr="00045946">
        <w:rPr>
          <w:rFonts w:ascii="Garamond" w:hAnsi="Garamond"/>
          <w:color w:val="222222"/>
        </w:rPr>
        <w:t xml:space="preserve">bathrooms, domestic violence shelters, homeless shelters, and prisons, most of which might be </w:t>
      </w:r>
      <w:r w:rsidR="00BF3A46" w:rsidRPr="00045946">
        <w:rPr>
          <w:rFonts w:ascii="Garamond" w:hAnsi="Garamond"/>
          <w:color w:val="222222"/>
        </w:rPr>
        <w:lastRenderedPageBreak/>
        <w:t xml:space="preserve">more hostile to and would </w:t>
      </w:r>
      <w:r w:rsidR="002F1A5B" w:rsidRPr="00045946">
        <w:rPr>
          <w:rFonts w:ascii="Garamond" w:hAnsi="Garamond"/>
          <w:color w:val="222222"/>
        </w:rPr>
        <w:t>create</w:t>
      </w:r>
      <w:r w:rsidR="00BF3A46" w:rsidRPr="00045946">
        <w:rPr>
          <w:rFonts w:ascii="Garamond" w:hAnsi="Garamond"/>
          <w:color w:val="222222"/>
        </w:rPr>
        <w:t xml:space="preserve"> </w:t>
      </w:r>
      <w:r w:rsidR="002F1A5B" w:rsidRPr="00045946">
        <w:rPr>
          <w:rFonts w:ascii="Garamond" w:hAnsi="Garamond"/>
          <w:color w:val="222222"/>
        </w:rPr>
        <w:t xml:space="preserve">more </w:t>
      </w:r>
      <w:r w:rsidR="00BF3A46" w:rsidRPr="00045946">
        <w:rPr>
          <w:rFonts w:ascii="Garamond" w:hAnsi="Garamond"/>
          <w:color w:val="222222"/>
        </w:rPr>
        <w:t>unsafe environments for trans and gender-diverse communities.</w:t>
      </w:r>
    </w:p>
    <w:p w14:paraId="386E79E4" w14:textId="0146EF8E" w:rsidR="00756CED" w:rsidRPr="00045946" w:rsidRDefault="00756CED" w:rsidP="00045946">
      <w:pPr>
        <w:shd w:val="clear" w:color="auto" w:fill="FFFFFF"/>
        <w:spacing w:line="480" w:lineRule="auto"/>
        <w:rPr>
          <w:rFonts w:ascii="Garamond" w:hAnsi="Garamond"/>
          <w:color w:val="222222"/>
        </w:rPr>
      </w:pPr>
    </w:p>
    <w:p w14:paraId="3354FBE6" w14:textId="5831C0D7" w:rsidR="00756CED" w:rsidRPr="00D7469F" w:rsidRDefault="00756CED" w:rsidP="00D7469F">
      <w:pPr>
        <w:pStyle w:val="Heading2"/>
      </w:pPr>
      <w:r w:rsidRPr="00D7469F">
        <w:t xml:space="preserve">3. </w:t>
      </w:r>
      <w:r w:rsidR="009347AE" w:rsidRPr="00D7469F">
        <w:t>I</w:t>
      </w:r>
      <w:r w:rsidRPr="00D7469F">
        <w:t xml:space="preserve">nstitutions </w:t>
      </w:r>
    </w:p>
    <w:p w14:paraId="0219082D" w14:textId="012FAA63" w:rsidR="00B1155C" w:rsidRDefault="00756CED" w:rsidP="00D7469F">
      <w:pPr>
        <w:shd w:val="clear" w:color="auto" w:fill="FFFFFF"/>
        <w:spacing w:line="480" w:lineRule="auto"/>
        <w:contextualSpacing/>
        <w:rPr>
          <w:rFonts w:ascii="Garamond" w:hAnsi="Garamond"/>
          <w:color w:val="222222"/>
        </w:rPr>
      </w:pPr>
      <w:r w:rsidRPr="00045946">
        <w:rPr>
          <w:rFonts w:ascii="Garamond" w:hAnsi="Garamond"/>
          <w:color w:val="222222"/>
        </w:rPr>
        <w:t>Wh</w:t>
      </w:r>
      <w:r w:rsidR="00FF026E" w:rsidRPr="00045946">
        <w:rPr>
          <w:rFonts w:ascii="Garamond" w:hAnsi="Garamond"/>
          <w:color w:val="222222"/>
        </w:rPr>
        <w:t xml:space="preserve">en it comes to </w:t>
      </w:r>
      <w:r w:rsidRPr="00045946">
        <w:rPr>
          <w:rFonts w:ascii="Garamond" w:hAnsi="Garamond"/>
          <w:color w:val="222222"/>
        </w:rPr>
        <w:t xml:space="preserve">the role of institutions, </w:t>
      </w:r>
      <w:r w:rsidR="00FF026E" w:rsidRPr="00045946">
        <w:rPr>
          <w:rFonts w:ascii="Garamond" w:hAnsi="Garamond"/>
          <w:color w:val="222222"/>
        </w:rPr>
        <w:t>including</w:t>
      </w:r>
      <w:r w:rsidRPr="00045946">
        <w:rPr>
          <w:rFonts w:ascii="Garamond" w:hAnsi="Garamond"/>
          <w:color w:val="222222"/>
        </w:rPr>
        <w:t xml:space="preserve"> schools</w:t>
      </w:r>
      <w:r w:rsidR="00FF026E" w:rsidRPr="00045946">
        <w:rPr>
          <w:rFonts w:ascii="Garamond" w:hAnsi="Garamond"/>
          <w:color w:val="222222"/>
        </w:rPr>
        <w:t xml:space="preserve">, </w:t>
      </w:r>
      <w:r w:rsidR="00D555EC" w:rsidRPr="00045946">
        <w:rPr>
          <w:rFonts w:ascii="Garamond" w:hAnsi="Garamond"/>
          <w:color w:val="222222"/>
        </w:rPr>
        <w:t>and</w:t>
      </w:r>
      <w:r w:rsidR="00D44B39" w:rsidRPr="00045946">
        <w:rPr>
          <w:rFonts w:ascii="Garamond" w:hAnsi="Garamond"/>
          <w:color w:val="222222"/>
        </w:rPr>
        <w:t>,</w:t>
      </w:r>
      <w:r w:rsidR="00D555EC" w:rsidRPr="00045946">
        <w:rPr>
          <w:rFonts w:ascii="Garamond" w:hAnsi="Garamond"/>
          <w:color w:val="222222"/>
        </w:rPr>
        <w:t xml:space="preserve"> I would add, gender itself, </w:t>
      </w:r>
      <w:r w:rsidR="00FF026E" w:rsidRPr="00045946">
        <w:rPr>
          <w:rFonts w:ascii="Garamond" w:hAnsi="Garamond"/>
          <w:color w:val="222222"/>
        </w:rPr>
        <w:t xml:space="preserve">we </w:t>
      </w:r>
      <w:r w:rsidR="00D44570" w:rsidRPr="00045946">
        <w:rPr>
          <w:rFonts w:ascii="Garamond" w:hAnsi="Garamond"/>
          <w:color w:val="222222"/>
        </w:rPr>
        <w:t>must</w:t>
      </w:r>
      <w:r w:rsidR="00FF026E" w:rsidRPr="00045946">
        <w:rPr>
          <w:rFonts w:ascii="Garamond" w:hAnsi="Garamond"/>
          <w:color w:val="222222"/>
        </w:rPr>
        <w:t xml:space="preserve"> acknowledge that one of their primary functions or impacts is that they</w:t>
      </w:r>
      <w:r w:rsidRPr="00045946">
        <w:rPr>
          <w:rFonts w:ascii="Garamond" w:hAnsi="Garamond"/>
          <w:color w:val="222222"/>
        </w:rPr>
        <w:t xml:space="preserve"> discipline</w:t>
      </w:r>
      <w:r w:rsidR="00D44570" w:rsidRPr="00045946">
        <w:rPr>
          <w:rFonts w:ascii="Garamond" w:hAnsi="Garamond"/>
          <w:color w:val="222222"/>
        </w:rPr>
        <w:t xml:space="preserve"> (Foucault</w:t>
      </w:r>
      <w:r w:rsidR="000A19D8" w:rsidRPr="00045946">
        <w:rPr>
          <w:rFonts w:ascii="Garamond" w:hAnsi="Garamond"/>
          <w:color w:val="222222"/>
        </w:rPr>
        <w:t>,</w:t>
      </w:r>
      <w:r w:rsidR="00D44570" w:rsidRPr="00045946">
        <w:rPr>
          <w:rFonts w:ascii="Garamond" w:hAnsi="Garamond"/>
          <w:color w:val="222222"/>
        </w:rPr>
        <w:t xml:space="preserve"> </w:t>
      </w:r>
      <w:r w:rsidR="002669DA" w:rsidRPr="00045946">
        <w:rPr>
          <w:rFonts w:ascii="Garamond" w:hAnsi="Garamond"/>
          <w:color w:val="222222"/>
        </w:rPr>
        <w:t>1990</w:t>
      </w:r>
      <w:r w:rsidR="00D44570" w:rsidRPr="00045946">
        <w:rPr>
          <w:rFonts w:ascii="Garamond" w:hAnsi="Garamond"/>
          <w:color w:val="222222"/>
        </w:rPr>
        <w:t>)</w:t>
      </w:r>
      <w:r w:rsidRPr="00045946">
        <w:rPr>
          <w:rFonts w:ascii="Garamond" w:hAnsi="Garamond"/>
          <w:color w:val="222222"/>
        </w:rPr>
        <w:t xml:space="preserve">. </w:t>
      </w:r>
      <w:r w:rsidRPr="00045946">
        <w:rPr>
          <w:rFonts w:ascii="Garamond" w:hAnsi="Garamond"/>
          <w:color w:val="000000"/>
        </w:rPr>
        <w:t xml:space="preserve">For example, </w:t>
      </w:r>
      <w:r w:rsidR="002E3772">
        <w:rPr>
          <w:rFonts w:ascii="Garamond" w:hAnsi="Garamond"/>
          <w:color w:val="000000"/>
        </w:rPr>
        <w:t xml:space="preserve">Renz </w:t>
      </w:r>
      <w:r w:rsidRPr="00045946">
        <w:rPr>
          <w:rFonts w:ascii="Garamond" w:hAnsi="Garamond"/>
          <w:color w:val="000000"/>
        </w:rPr>
        <w:t xml:space="preserve">mentions that one interviewee expressed regret at their inability to change a student’s name. </w:t>
      </w:r>
      <w:r w:rsidR="00D44B39" w:rsidRPr="00045946">
        <w:rPr>
          <w:rFonts w:ascii="Garamond" w:hAnsi="Garamond"/>
        </w:rPr>
        <w:t>Instead of asking what this example might indicate about</w:t>
      </w:r>
      <w:r w:rsidRPr="00045946">
        <w:rPr>
          <w:rFonts w:ascii="Garamond" w:hAnsi="Garamond"/>
        </w:rPr>
        <w:t xml:space="preserve"> single-sex schools,</w:t>
      </w:r>
      <w:r w:rsidR="00D44B39" w:rsidRPr="00045946">
        <w:rPr>
          <w:rFonts w:ascii="Garamond" w:hAnsi="Garamond"/>
        </w:rPr>
        <w:t xml:space="preserve"> </w:t>
      </w:r>
      <w:r w:rsidRPr="00045946">
        <w:rPr>
          <w:rFonts w:ascii="Garamond" w:hAnsi="Garamond"/>
        </w:rPr>
        <w:t xml:space="preserve">it seems worth </w:t>
      </w:r>
      <w:r w:rsidR="00D44B39" w:rsidRPr="00045946">
        <w:rPr>
          <w:rFonts w:ascii="Garamond" w:hAnsi="Garamond"/>
        </w:rPr>
        <w:t xml:space="preserve">shifting attention in order to </w:t>
      </w:r>
      <w:r w:rsidR="000A19D8" w:rsidRPr="00045946">
        <w:rPr>
          <w:rFonts w:ascii="Garamond" w:hAnsi="Garamond"/>
        </w:rPr>
        <w:t>question how</w:t>
      </w:r>
      <w:r w:rsidR="00D44B39" w:rsidRPr="00045946">
        <w:rPr>
          <w:rFonts w:ascii="Garamond" w:hAnsi="Garamond"/>
        </w:rPr>
        <w:t xml:space="preserve"> </w:t>
      </w:r>
      <w:r w:rsidRPr="00045946">
        <w:rPr>
          <w:rFonts w:ascii="Garamond" w:hAnsi="Garamond"/>
        </w:rPr>
        <w:t xml:space="preserve">the school </w:t>
      </w:r>
      <w:r w:rsidRPr="00045946">
        <w:rPr>
          <w:rFonts w:ascii="Garamond" w:hAnsi="Garamond"/>
          <w:i/>
          <w:iCs/>
        </w:rPr>
        <w:t xml:space="preserve">as </w:t>
      </w:r>
      <w:r w:rsidR="000A19D8" w:rsidRPr="00045946">
        <w:rPr>
          <w:rFonts w:ascii="Garamond" w:hAnsi="Garamond"/>
          <w:i/>
          <w:iCs/>
        </w:rPr>
        <w:t xml:space="preserve">an </w:t>
      </w:r>
      <w:r w:rsidRPr="00045946">
        <w:rPr>
          <w:rFonts w:ascii="Garamond" w:hAnsi="Garamond"/>
          <w:i/>
          <w:iCs/>
        </w:rPr>
        <w:t>institution</w:t>
      </w:r>
      <w:r w:rsidRPr="00045946">
        <w:rPr>
          <w:rFonts w:ascii="Garamond" w:hAnsi="Garamond"/>
        </w:rPr>
        <w:t xml:space="preserve"> </w:t>
      </w:r>
      <w:r w:rsidR="00D44B39" w:rsidRPr="00045946">
        <w:rPr>
          <w:rFonts w:ascii="Garamond" w:hAnsi="Garamond"/>
        </w:rPr>
        <w:t xml:space="preserve">always already </w:t>
      </w:r>
      <w:r w:rsidR="000A19D8" w:rsidRPr="00045946">
        <w:rPr>
          <w:rFonts w:ascii="Garamond" w:hAnsi="Garamond"/>
        </w:rPr>
        <w:t>plays a significant role in</w:t>
      </w:r>
      <w:r w:rsidRPr="00045946">
        <w:rPr>
          <w:rFonts w:ascii="Garamond" w:hAnsi="Garamond"/>
        </w:rPr>
        <w:t xml:space="preserve"> </w:t>
      </w:r>
      <w:r w:rsidR="000A19D8" w:rsidRPr="00045946">
        <w:rPr>
          <w:rFonts w:ascii="Garamond" w:hAnsi="Garamond"/>
        </w:rPr>
        <w:t xml:space="preserve">the </w:t>
      </w:r>
      <w:r w:rsidRPr="00045946">
        <w:rPr>
          <w:rFonts w:ascii="Garamond" w:hAnsi="Garamond"/>
        </w:rPr>
        <w:t>disciplining and policing of genders.</w:t>
      </w:r>
      <w:r w:rsidR="00FF026E" w:rsidRPr="00045946">
        <w:rPr>
          <w:rFonts w:ascii="Garamond" w:hAnsi="Garamond"/>
        </w:rPr>
        <w:t xml:space="preserve"> </w:t>
      </w:r>
      <w:r w:rsidR="00DC0DC4" w:rsidRPr="00045946">
        <w:rPr>
          <w:rFonts w:ascii="Garamond" w:hAnsi="Garamond"/>
        </w:rPr>
        <w:t xml:space="preserve">And here, </w:t>
      </w:r>
      <w:r w:rsidR="000A19D8" w:rsidRPr="00045946">
        <w:rPr>
          <w:rFonts w:ascii="Garamond" w:hAnsi="Garamond"/>
        </w:rPr>
        <w:t>it is also critical to examine</w:t>
      </w:r>
      <w:r w:rsidR="00DC0DC4" w:rsidRPr="00045946">
        <w:rPr>
          <w:rFonts w:ascii="Garamond" w:hAnsi="Garamond"/>
        </w:rPr>
        <w:t xml:space="preserve"> boys’ schools and how they might offer a very different approach to </w:t>
      </w:r>
      <w:r w:rsidR="00D44B39" w:rsidRPr="00045946">
        <w:rPr>
          <w:rFonts w:ascii="Garamond" w:hAnsi="Garamond"/>
        </w:rPr>
        <w:t xml:space="preserve">the </w:t>
      </w:r>
      <w:r w:rsidR="00DC0DC4" w:rsidRPr="00045946">
        <w:rPr>
          <w:rFonts w:ascii="Garamond" w:hAnsi="Garamond"/>
        </w:rPr>
        <w:t xml:space="preserve">inclusion of trans </w:t>
      </w:r>
      <w:r w:rsidR="000A19D8" w:rsidRPr="00045946">
        <w:rPr>
          <w:rFonts w:ascii="Garamond" w:hAnsi="Garamond"/>
        </w:rPr>
        <w:t xml:space="preserve">and non-binary </w:t>
      </w:r>
      <w:r w:rsidR="00DC0DC4" w:rsidRPr="00045946">
        <w:rPr>
          <w:rFonts w:ascii="Garamond" w:hAnsi="Garamond"/>
        </w:rPr>
        <w:t xml:space="preserve">students. </w:t>
      </w:r>
      <w:r w:rsidR="00DC0DC4" w:rsidRPr="00045946">
        <w:rPr>
          <w:rFonts w:ascii="Garamond" w:hAnsi="Garamond"/>
          <w:color w:val="222222"/>
        </w:rPr>
        <w:t xml:space="preserve">In this respect, the move to co-ed schools could be seen as, in part, instigated to mitigate </w:t>
      </w:r>
      <w:r w:rsidR="000A19D8" w:rsidRPr="00045946">
        <w:rPr>
          <w:rFonts w:ascii="Garamond" w:hAnsi="Garamond"/>
          <w:color w:val="222222"/>
        </w:rPr>
        <w:t>a</w:t>
      </w:r>
      <w:r w:rsidR="00DC0DC4" w:rsidRPr="00045946">
        <w:rPr>
          <w:rFonts w:ascii="Garamond" w:hAnsi="Garamond"/>
          <w:color w:val="222222"/>
        </w:rPr>
        <w:t xml:space="preserve"> hyper-masculine culture of boys</w:t>
      </w:r>
      <w:r w:rsidR="000A19D8" w:rsidRPr="00045946">
        <w:rPr>
          <w:rFonts w:ascii="Garamond" w:hAnsi="Garamond"/>
          <w:color w:val="222222"/>
        </w:rPr>
        <w:t>’</w:t>
      </w:r>
      <w:r w:rsidR="00DC0DC4" w:rsidRPr="00045946">
        <w:rPr>
          <w:rFonts w:ascii="Garamond" w:hAnsi="Garamond"/>
          <w:color w:val="222222"/>
        </w:rPr>
        <w:t xml:space="preserve"> schools, to say nothing of the harm they could inflict on trans </w:t>
      </w:r>
      <w:r w:rsidR="000A19D8" w:rsidRPr="00045946">
        <w:rPr>
          <w:rFonts w:ascii="Garamond" w:hAnsi="Garamond"/>
          <w:color w:val="222222"/>
        </w:rPr>
        <w:t>children</w:t>
      </w:r>
      <w:r w:rsidR="00DC0DC4" w:rsidRPr="00045946">
        <w:rPr>
          <w:rFonts w:ascii="Garamond" w:hAnsi="Garamond"/>
          <w:color w:val="222222"/>
        </w:rPr>
        <w:t xml:space="preserve"> assigned male at birth but </w:t>
      </w:r>
      <w:r w:rsidR="00D44B39" w:rsidRPr="00045946">
        <w:rPr>
          <w:rFonts w:ascii="Garamond" w:hAnsi="Garamond"/>
          <w:color w:val="222222"/>
        </w:rPr>
        <w:t xml:space="preserve">who </w:t>
      </w:r>
      <w:r w:rsidR="00DC0DC4" w:rsidRPr="00045946">
        <w:rPr>
          <w:rFonts w:ascii="Garamond" w:hAnsi="Garamond"/>
          <w:color w:val="222222"/>
        </w:rPr>
        <w:t>identify with another gender. So perhaps girls</w:t>
      </w:r>
      <w:r w:rsidR="000A19D8" w:rsidRPr="00045946">
        <w:rPr>
          <w:rFonts w:ascii="Garamond" w:hAnsi="Garamond"/>
          <w:color w:val="222222"/>
        </w:rPr>
        <w:t xml:space="preserve">’ </w:t>
      </w:r>
      <w:r w:rsidR="00DC0DC4" w:rsidRPr="00045946">
        <w:rPr>
          <w:rFonts w:ascii="Garamond" w:hAnsi="Garamond"/>
          <w:color w:val="222222"/>
        </w:rPr>
        <w:t xml:space="preserve">schools have a benefit in empowering girls, but in looking at the full picture by including boys’ school, this </w:t>
      </w:r>
      <w:r w:rsidR="00D44B39" w:rsidRPr="00045946">
        <w:rPr>
          <w:rFonts w:ascii="Garamond" w:hAnsi="Garamond"/>
          <w:color w:val="222222"/>
        </w:rPr>
        <w:t xml:space="preserve">single-sex focus </w:t>
      </w:r>
      <w:r w:rsidR="00DC0DC4" w:rsidRPr="00045946">
        <w:rPr>
          <w:rFonts w:ascii="Garamond" w:hAnsi="Garamond"/>
          <w:color w:val="222222"/>
        </w:rPr>
        <w:t>might also translate into further entrenchment of gender norms, toxic masculinity, and the social and institutional fixity of binary gender.</w:t>
      </w:r>
      <w:r w:rsidR="00F54540" w:rsidRPr="00045946">
        <w:rPr>
          <w:rFonts w:ascii="Garamond" w:hAnsi="Garamond"/>
        </w:rPr>
        <w:t xml:space="preserve"> </w:t>
      </w:r>
      <w:r w:rsidR="00881B14" w:rsidRPr="00045946">
        <w:rPr>
          <w:rFonts w:ascii="Garamond" w:hAnsi="Garamond"/>
          <w:color w:val="000000"/>
        </w:rPr>
        <w:t xml:space="preserve">On this note, </w:t>
      </w:r>
      <w:r w:rsidR="002669DA" w:rsidRPr="00045946">
        <w:rPr>
          <w:rFonts w:ascii="Garamond" w:hAnsi="Garamond"/>
          <w:color w:val="000000"/>
        </w:rPr>
        <w:t>Renz</w:t>
      </w:r>
      <w:r w:rsidR="00881B14" w:rsidRPr="00045946">
        <w:rPr>
          <w:rFonts w:ascii="Garamond" w:hAnsi="Garamond"/>
          <w:color w:val="000000"/>
        </w:rPr>
        <w:t xml:space="preserve"> points out that many girls’ schools follow an ethos of empowering girls. </w:t>
      </w:r>
      <w:r w:rsidR="00881B14" w:rsidRPr="00045946">
        <w:rPr>
          <w:rFonts w:ascii="Garamond" w:hAnsi="Garamond"/>
        </w:rPr>
        <w:t>In thinking about empowerment</w:t>
      </w:r>
      <w:r w:rsidR="00FF026E" w:rsidRPr="00045946">
        <w:rPr>
          <w:rFonts w:ascii="Garamond" w:hAnsi="Garamond"/>
        </w:rPr>
        <w:t xml:space="preserve"> in the context of the institution</w:t>
      </w:r>
      <w:r w:rsidR="00881B14" w:rsidRPr="00045946">
        <w:rPr>
          <w:rFonts w:ascii="Garamond" w:hAnsi="Garamond"/>
        </w:rPr>
        <w:t xml:space="preserve">, what strategies are used, what </w:t>
      </w:r>
      <w:r w:rsidR="009347AE" w:rsidRPr="00045946">
        <w:rPr>
          <w:rFonts w:ascii="Garamond" w:hAnsi="Garamond"/>
        </w:rPr>
        <w:t>values</w:t>
      </w:r>
      <w:r w:rsidR="00881B14" w:rsidRPr="00045946">
        <w:rPr>
          <w:rFonts w:ascii="Garamond" w:hAnsi="Garamond"/>
        </w:rPr>
        <w:t xml:space="preserve"> are instilled, </w:t>
      </w:r>
      <w:r w:rsidR="009347AE" w:rsidRPr="00045946">
        <w:rPr>
          <w:rFonts w:ascii="Garamond" w:hAnsi="Garamond"/>
        </w:rPr>
        <w:t xml:space="preserve">and </w:t>
      </w:r>
      <w:r w:rsidR="00881B14" w:rsidRPr="00045946">
        <w:rPr>
          <w:rFonts w:ascii="Garamond" w:hAnsi="Garamond"/>
        </w:rPr>
        <w:t xml:space="preserve">what pedagogical strategies are drawn upon? </w:t>
      </w:r>
      <w:r w:rsidR="00D555EC" w:rsidRPr="00045946">
        <w:rPr>
          <w:rFonts w:ascii="Garamond" w:hAnsi="Garamond"/>
        </w:rPr>
        <w:t>In terms of structural change, i</w:t>
      </w:r>
      <w:r w:rsidR="00881B14" w:rsidRPr="00045946">
        <w:rPr>
          <w:rFonts w:ascii="Garamond" w:hAnsi="Garamond"/>
        </w:rPr>
        <w:t xml:space="preserve">t is this that would be worth </w:t>
      </w:r>
      <w:r w:rsidR="000A19D8" w:rsidRPr="00045946">
        <w:rPr>
          <w:rFonts w:ascii="Garamond" w:hAnsi="Garamond"/>
        </w:rPr>
        <w:t>devoting attention to</w:t>
      </w:r>
      <w:r w:rsidR="00881B14" w:rsidRPr="00045946">
        <w:rPr>
          <w:rFonts w:ascii="Garamond" w:hAnsi="Garamond"/>
        </w:rPr>
        <w:t xml:space="preserve"> </w:t>
      </w:r>
      <w:r w:rsidR="00D44B39" w:rsidRPr="00045946">
        <w:rPr>
          <w:rFonts w:ascii="Garamond" w:hAnsi="Garamond"/>
        </w:rPr>
        <w:t xml:space="preserve">on a societal level </w:t>
      </w:r>
      <w:r w:rsidR="00881B14" w:rsidRPr="00045946">
        <w:rPr>
          <w:rFonts w:ascii="Garamond" w:hAnsi="Garamond"/>
        </w:rPr>
        <w:t>in order to give us tools to combat transphobia</w:t>
      </w:r>
      <w:r w:rsidR="00D44B39" w:rsidRPr="00045946">
        <w:rPr>
          <w:rFonts w:ascii="Garamond" w:hAnsi="Garamond"/>
        </w:rPr>
        <w:t xml:space="preserve"> and cissexism as well as</w:t>
      </w:r>
      <w:r w:rsidR="00881B14" w:rsidRPr="00045946">
        <w:rPr>
          <w:rFonts w:ascii="Garamond" w:hAnsi="Garamond"/>
        </w:rPr>
        <w:t xml:space="preserve"> general micro- and macro-aggressions built into any system or institution </w:t>
      </w:r>
      <w:r w:rsidR="00881B14" w:rsidRPr="00045946">
        <w:rPr>
          <w:rFonts w:ascii="Garamond" w:hAnsi="Garamond"/>
        </w:rPr>
        <w:lastRenderedPageBreak/>
        <w:t xml:space="preserve">that is reliant, explicitly or implicitly, on binary gender – which is to say, </w:t>
      </w:r>
      <w:r w:rsidR="00881B14" w:rsidRPr="00045946">
        <w:rPr>
          <w:rFonts w:ascii="Garamond" w:hAnsi="Garamond"/>
          <w:i/>
          <w:iCs/>
        </w:rPr>
        <w:t>every</w:t>
      </w:r>
      <w:r w:rsidR="00881B14" w:rsidRPr="00045946">
        <w:rPr>
          <w:rFonts w:ascii="Garamond" w:hAnsi="Garamond"/>
        </w:rPr>
        <w:t xml:space="preserve"> institution in one way or another.</w:t>
      </w:r>
    </w:p>
    <w:p w14:paraId="1CA835DD" w14:textId="77777777" w:rsidR="00D7469F" w:rsidRDefault="00D7469F" w:rsidP="00D7469F">
      <w:pPr>
        <w:shd w:val="clear" w:color="auto" w:fill="FFFFFF"/>
        <w:spacing w:line="480" w:lineRule="auto"/>
        <w:contextualSpacing/>
        <w:rPr>
          <w:rFonts w:ascii="Garamond" w:hAnsi="Garamond"/>
          <w:color w:val="222222"/>
        </w:rPr>
      </w:pPr>
      <w:bookmarkStart w:id="0" w:name="_GoBack"/>
      <w:bookmarkEnd w:id="0"/>
    </w:p>
    <w:p w14:paraId="29BA6EBC" w14:textId="557D80DB" w:rsidR="00B1155C" w:rsidRPr="00D7469F" w:rsidRDefault="00B1155C" w:rsidP="00D7469F">
      <w:pPr>
        <w:pStyle w:val="Heading2"/>
      </w:pPr>
      <w:r w:rsidRPr="00D7469F">
        <w:t>Conclusion</w:t>
      </w:r>
    </w:p>
    <w:p w14:paraId="6E3B1118" w14:textId="450EC0E9" w:rsidR="00FF026E" w:rsidRPr="00045946" w:rsidRDefault="00CF4306" w:rsidP="00D7469F">
      <w:pPr>
        <w:shd w:val="clear" w:color="auto" w:fill="FFFFFF"/>
        <w:spacing w:line="480" w:lineRule="auto"/>
        <w:contextualSpacing/>
        <w:rPr>
          <w:rFonts w:ascii="Garamond" w:hAnsi="Garamond"/>
          <w:color w:val="222222"/>
        </w:rPr>
      </w:pPr>
      <w:r w:rsidRPr="00045946">
        <w:rPr>
          <w:rFonts w:ascii="Garamond" w:hAnsi="Garamond"/>
          <w:color w:val="222222"/>
        </w:rPr>
        <w:t>T</w:t>
      </w:r>
      <w:r w:rsidR="009347AE" w:rsidRPr="00045946">
        <w:rPr>
          <w:rFonts w:ascii="Garamond" w:hAnsi="Garamond"/>
          <w:color w:val="222222"/>
        </w:rPr>
        <w:t>o conclude, t</w:t>
      </w:r>
      <w:r w:rsidRPr="00045946">
        <w:rPr>
          <w:rFonts w:ascii="Garamond" w:hAnsi="Garamond"/>
          <w:color w:val="222222"/>
        </w:rPr>
        <w:t xml:space="preserve">aking a </w:t>
      </w:r>
      <w:proofErr w:type="spellStart"/>
      <w:r w:rsidRPr="00045946">
        <w:rPr>
          <w:rFonts w:ascii="Garamond" w:hAnsi="Garamond"/>
          <w:color w:val="222222"/>
        </w:rPr>
        <w:t>prefigurative</w:t>
      </w:r>
      <w:proofErr w:type="spellEnd"/>
      <w:r w:rsidRPr="00045946">
        <w:rPr>
          <w:rFonts w:ascii="Garamond" w:hAnsi="Garamond"/>
          <w:color w:val="222222"/>
        </w:rPr>
        <w:t xml:space="preserve"> approach</w:t>
      </w:r>
      <w:r w:rsidR="009347AE" w:rsidRPr="00045946">
        <w:rPr>
          <w:rFonts w:ascii="Garamond" w:hAnsi="Garamond"/>
          <w:color w:val="222222"/>
        </w:rPr>
        <w:t xml:space="preserve"> – as </w:t>
      </w:r>
      <w:r w:rsidR="00D44570" w:rsidRPr="00045946">
        <w:rPr>
          <w:rFonts w:ascii="Garamond" w:hAnsi="Garamond"/>
          <w:color w:val="222222"/>
        </w:rPr>
        <w:t xml:space="preserve">the </w:t>
      </w:r>
      <w:r w:rsidR="000A19D8" w:rsidRPr="00045946">
        <w:rPr>
          <w:rFonts w:ascii="Garamond" w:hAnsi="Garamond"/>
          <w:color w:val="222222"/>
        </w:rPr>
        <w:t>Future of Legal Gender</w:t>
      </w:r>
      <w:r w:rsidR="009347AE" w:rsidRPr="00045946">
        <w:rPr>
          <w:rFonts w:ascii="Garamond" w:hAnsi="Garamond"/>
          <w:color w:val="222222"/>
        </w:rPr>
        <w:t xml:space="preserve"> project does –</w:t>
      </w:r>
      <w:r w:rsidRPr="00045946">
        <w:rPr>
          <w:rFonts w:ascii="Garamond" w:hAnsi="Garamond"/>
          <w:color w:val="222222"/>
        </w:rPr>
        <w:t xml:space="preserve"> and putting things on the table </w:t>
      </w:r>
      <w:r w:rsidR="00FF026E" w:rsidRPr="00045946">
        <w:rPr>
          <w:rFonts w:ascii="Garamond" w:hAnsi="Garamond"/>
          <w:color w:val="222222"/>
        </w:rPr>
        <w:t>that are not yet there</w:t>
      </w:r>
      <w:r w:rsidRPr="00045946">
        <w:rPr>
          <w:rFonts w:ascii="Garamond" w:hAnsi="Garamond"/>
          <w:color w:val="222222"/>
        </w:rPr>
        <w:t xml:space="preserve"> means </w:t>
      </w:r>
      <w:r w:rsidR="009347AE" w:rsidRPr="00045946">
        <w:rPr>
          <w:rFonts w:ascii="Garamond" w:hAnsi="Garamond"/>
          <w:color w:val="222222"/>
        </w:rPr>
        <w:t xml:space="preserve">asking what the law can do for us </w:t>
      </w:r>
      <w:r w:rsidR="000A19D8" w:rsidRPr="00045946">
        <w:rPr>
          <w:rFonts w:ascii="Garamond" w:hAnsi="Garamond"/>
          <w:color w:val="222222"/>
        </w:rPr>
        <w:t>in</w:t>
      </w:r>
      <w:r w:rsidR="009347AE" w:rsidRPr="00045946">
        <w:rPr>
          <w:rFonts w:ascii="Garamond" w:hAnsi="Garamond"/>
          <w:color w:val="222222"/>
        </w:rPr>
        <w:t xml:space="preserve"> </w:t>
      </w:r>
      <w:r w:rsidRPr="00045946">
        <w:rPr>
          <w:rFonts w:ascii="Garamond" w:hAnsi="Garamond"/>
          <w:color w:val="222222"/>
        </w:rPr>
        <w:t xml:space="preserve">enacting the kind of world </w:t>
      </w:r>
      <w:r w:rsidR="000A19D8" w:rsidRPr="00045946">
        <w:rPr>
          <w:rFonts w:ascii="Garamond" w:hAnsi="Garamond"/>
          <w:color w:val="222222"/>
        </w:rPr>
        <w:t xml:space="preserve">in which </w:t>
      </w:r>
      <w:r w:rsidRPr="00045946">
        <w:rPr>
          <w:rFonts w:ascii="Garamond" w:hAnsi="Garamond"/>
          <w:color w:val="222222"/>
        </w:rPr>
        <w:t>we want to live.</w:t>
      </w:r>
      <w:r w:rsidR="00B402B7" w:rsidRPr="00045946">
        <w:rPr>
          <w:rFonts w:ascii="Garamond" w:hAnsi="Garamond"/>
          <w:color w:val="222222"/>
        </w:rPr>
        <w:t xml:space="preserve"> </w:t>
      </w:r>
      <w:r w:rsidR="000A19D8" w:rsidRPr="00045946">
        <w:rPr>
          <w:rFonts w:ascii="Garamond" w:hAnsi="Garamond"/>
          <w:color w:val="222222"/>
        </w:rPr>
        <w:t>F</w:t>
      </w:r>
      <w:r w:rsidR="00B402B7" w:rsidRPr="00045946">
        <w:rPr>
          <w:rFonts w:ascii="Garamond" w:hAnsi="Garamond"/>
          <w:color w:val="222222"/>
        </w:rPr>
        <w:t xml:space="preserve">eminist and queer </w:t>
      </w:r>
      <w:r w:rsidR="000A19D8" w:rsidRPr="00045946">
        <w:rPr>
          <w:rFonts w:ascii="Garamond" w:hAnsi="Garamond"/>
          <w:color w:val="222222"/>
        </w:rPr>
        <w:t>scholarship and activism</w:t>
      </w:r>
      <w:r w:rsidR="00025AB9" w:rsidRPr="00045946">
        <w:rPr>
          <w:rFonts w:ascii="Garamond" w:hAnsi="Garamond"/>
          <w:color w:val="222222"/>
        </w:rPr>
        <w:t>, which</w:t>
      </w:r>
      <w:r w:rsidR="00B402B7" w:rsidRPr="00045946">
        <w:rPr>
          <w:rFonts w:ascii="Garamond" w:hAnsi="Garamond"/>
          <w:color w:val="222222"/>
        </w:rPr>
        <w:t xml:space="preserve"> </w:t>
      </w:r>
      <w:r w:rsidR="00025AB9" w:rsidRPr="00045946">
        <w:rPr>
          <w:rFonts w:ascii="Garamond" w:hAnsi="Garamond"/>
          <w:color w:val="222222"/>
        </w:rPr>
        <w:t xml:space="preserve">has </w:t>
      </w:r>
      <w:r w:rsidR="002E3772">
        <w:rPr>
          <w:rFonts w:ascii="Garamond" w:hAnsi="Garamond"/>
          <w:color w:val="222222"/>
        </w:rPr>
        <w:t xml:space="preserve">consistently </w:t>
      </w:r>
      <w:r w:rsidR="00025AB9" w:rsidRPr="00045946">
        <w:rPr>
          <w:rFonts w:ascii="Garamond" w:hAnsi="Garamond"/>
          <w:color w:val="222222"/>
        </w:rPr>
        <w:t>argued</w:t>
      </w:r>
      <w:r w:rsidR="00B402B7" w:rsidRPr="00045946">
        <w:rPr>
          <w:rFonts w:ascii="Garamond" w:hAnsi="Garamond"/>
          <w:color w:val="222222"/>
        </w:rPr>
        <w:t xml:space="preserve"> that the state</w:t>
      </w:r>
      <w:r w:rsidR="000A19D8" w:rsidRPr="00045946">
        <w:rPr>
          <w:rFonts w:ascii="Garamond" w:hAnsi="Garamond"/>
          <w:color w:val="222222"/>
        </w:rPr>
        <w:t xml:space="preserve"> </w:t>
      </w:r>
      <w:r w:rsidR="00B402B7" w:rsidRPr="00045946">
        <w:rPr>
          <w:rFonts w:ascii="Garamond" w:hAnsi="Garamond"/>
          <w:color w:val="222222"/>
        </w:rPr>
        <w:t>doesn</w:t>
      </w:r>
      <w:r w:rsidR="000A19D8" w:rsidRPr="00045946">
        <w:rPr>
          <w:rFonts w:ascii="Garamond" w:hAnsi="Garamond"/>
          <w:color w:val="222222"/>
        </w:rPr>
        <w:t>’</w:t>
      </w:r>
      <w:r w:rsidR="00B402B7" w:rsidRPr="00045946">
        <w:rPr>
          <w:rFonts w:ascii="Garamond" w:hAnsi="Garamond"/>
          <w:color w:val="222222"/>
        </w:rPr>
        <w:t>t tell us what gender is or can be</w:t>
      </w:r>
      <w:r w:rsidR="00025AB9" w:rsidRPr="00045946">
        <w:rPr>
          <w:rFonts w:ascii="Garamond" w:hAnsi="Garamond"/>
          <w:color w:val="222222"/>
        </w:rPr>
        <w:t xml:space="preserve">, </w:t>
      </w:r>
      <w:r w:rsidR="000A19D8" w:rsidRPr="00045946">
        <w:rPr>
          <w:rFonts w:ascii="Garamond" w:hAnsi="Garamond"/>
          <w:color w:val="222222"/>
        </w:rPr>
        <w:t>might continue to serve as</w:t>
      </w:r>
      <w:r w:rsidR="00B402B7" w:rsidRPr="00045946">
        <w:rPr>
          <w:rFonts w:ascii="Garamond" w:hAnsi="Garamond"/>
          <w:color w:val="222222"/>
        </w:rPr>
        <w:t xml:space="preserve"> inspir</w:t>
      </w:r>
      <w:r w:rsidR="000A19D8" w:rsidRPr="00045946">
        <w:rPr>
          <w:rFonts w:ascii="Garamond" w:hAnsi="Garamond"/>
          <w:color w:val="222222"/>
        </w:rPr>
        <w:t xml:space="preserve">ation for </w:t>
      </w:r>
      <w:r w:rsidR="00B402B7" w:rsidRPr="00045946">
        <w:rPr>
          <w:rFonts w:ascii="Garamond" w:hAnsi="Garamond"/>
          <w:color w:val="222222"/>
        </w:rPr>
        <w:t>critically analyz</w:t>
      </w:r>
      <w:r w:rsidR="000A19D8" w:rsidRPr="00045946">
        <w:rPr>
          <w:rFonts w:ascii="Garamond" w:hAnsi="Garamond"/>
          <w:color w:val="222222"/>
        </w:rPr>
        <w:t>ing</w:t>
      </w:r>
      <w:r w:rsidR="00B402B7" w:rsidRPr="00045946">
        <w:rPr>
          <w:rFonts w:ascii="Garamond" w:hAnsi="Garamond"/>
          <w:color w:val="222222"/>
        </w:rPr>
        <w:t xml:space="preserve"> how multiple and multiplying configurations of gender and social distributions of power shape and are shaped by law, resistance and emancipation.</w:t>
      </w:r>
      <w:r w:rsidRPr="00045946">
        <w:rPr>
          <w:rFonts w:ascii="Garamond" w:hAnsi="Garamond"/>
          <w:color w:val="222222"/>
        </w:rPr>
        <w:t xml:space="preserve"> In this respect, </w:t>
      </w:r>
      <w:r w:rsidR="00025AB9" w:rsidRPr="00045946">
        <w:rPr>
          <w:rFonts w:ascii="Garamond" w:hAnsi="Garamond"/>
          <w:color w:val="222222"/>
        </w:rPr>
        <w:t>“</w:t>
      </w:r>
      <w:r w:rsidR="00025AB9" w:rsidRPr="00045946">
        <w:rPr>
          <w:rFonts w:ascii="Garamond" w:hAnsi="Garamond"/>
          <w:color w:val="222222"/>
          <w:lang w:val="en-GB"/>
        </w:rPr>
        <w:t xml:space="preserve">The challenge of same-sex provision: </w:t>
      </w:r>
      <w:r w:rsidR="00025AB9" w:rsidRPr="00045946">
        <w:rPr>
          <w:rFonts w:ascii="Garamond" w:hAnsi="Garamond"/>
          <w:color w:val="222222"/>
        </w:rPr>
        <w:t xml:space="preserve">How many girls does a girls’ school need?” </w:t>
      </w:r>
      <w:r w:rsidR="000A19D8" w:rsidRPr="00045946">
        <w:rPr>
          <w:rFonts w:ascii="Garamond" w:hAnsi="Garamond"/>
          <w:color w:val="000000"/>
        </w:rPr>
        <w:t>concludes with</w:t>
      </w:r>
      <w:r w:rsidR="00F94C50" w:rsidRPr="00045946">
        <w:rPr>
          <w:rFonts w:ascii="Garamond" w:hAnsi="Garamond"/>
          <w:color w:val="000000"/>
        </w:rPr>
        <w:t xml:space="preserve"> an important question: </w:t>
      </w:r>
      <w:r w:rsidR="00FF026E" w:rsidRPr="00045946">
        <w:rPr>
          <w:rFonts w:ascii="Garamond" w:hAnsi="Garamond"/>
          <w:color w:val="000000"/>
        </w:rPr>
        <w:t>i</w:t>
      </w:r>
      <w:r w:rsidR="00885552" w:rsidRPr="00045946">
        <w:rPr>
          <w:rFonts w:ascii="Garamond" w:hAnsi="Garamond"/>
          <w:color w:val="000000"/>
        </w:rPr>
        <w:t xml:space="preserve">f </w:t>
      </w:r>
      <w:r w:rsidR="003E4143" w:rsidRPr="00045946">
        <w:rPr>
          <w:rFonts w:ascii="Garamond" w:hAnsi="Garamond"/>
          <w:color w:val="000000"/>
        </w:rPr>
        <w:t>“disruption of gender norms or boundaries only takes place within very narrow and specific spaces, then are the same norms and boundaries left unchallenged in other contexts?”</w:t>
      </w:r>
      <w:r w:rsidR="003E4143" w:rsidRPr="00045946">
        <w:rPr>
          <w:rFonts w:ascii="Garamond" w:hAnsi="Garamond"/>
        </w:rPr>
        <w:t xml:space="preserve"> </w:t>
      </w:r>
      <w:r w:rsidR="00B1155C">
        <w:rPr>
          <w:rFonts w:ascii="Garamond" w:hAnsi="Garamond"/>
        </w:rPr>
        <w:t>Perhaps this is utopian</w:t>
      </w:r>
      <w:r w:rsidR="00FF026E" w:rsidRPr="00045946">
        <w:rPr>
          <w:rFonts w:ascii="Garamond" w:hAnsi="Garamond"/>
        </w:rPr>
        <w:t xml:space="preserve"> on my part, but I would argue that</w:t>
      </w:r>
      <w:r w:rsidR="003E4143" w:rsidRPr="00045946">
        <w:rPr>
          <w:rFonts w:ascii="Garamond" w:hAnsi="Garamond"/>
        </w:rPr>
        <w:t xml:space="preserve"> disrupting gender norms and boundaries in this one location </w:t>
      </w:r>
      <w:r w:rsidR="002F1A5B" w:rsidRPr="00045946">
        <w:rPr>
          <w:rFonts w:ascii="Garamond" w:hAnsi="Garamond"/>
        </w:rPr>
        <w:t xml:space="preserve">– </w:t>
      </w:r>
      <w:r w:rsidR="00FF026E" w:rsidRPr="00045946">
        <w:rPr>
          <w:rFonts w:ascii="Garamond" w:hAnsi="Garamond"/>
        </w:rPr>
        <w:t>the single-sex school</w:t>
      </w:r>
      <w:r w:rsidR="002F1A5B" w:rsidRPr="00045946">
        <w:rPr>
          <w:rFonts w:ascii="Garamond" w:hAnsi="Garamond"/>
        </w:rPr>
        <w:t xml:space="preserve"> – is </w:t>
      </w:r>
      <w:r w:rsidR="003E4143" w:rsidRPr="00045946">
        <w:rPr>
          <w:rFonts w:ascii="Garamond" w:hAnsi="Garamond"/>
        </w:rPr>
        <w:t>destined to have effects elsewhere</w:t>
      </w:r>
      <w:r w:rsidR="002F1A5B" w:rsidRPr="00045946">
        <w:rPr>
          <w:rFonts w:ascii="Garamond" w:hAnsi="Garamond"/>
        </w:rPr>
        <w:t>.</w:t>
      </w:r>
      <w:r w:rsidR="003E4143" w:rsidRPr="00045946">
        <w:rPr>
          <w:rFonts w:ascii="Garamond" w:hAnsi="Garamond"/>
        </w:rPr>
        <w:t xml:space="preserve"> </w:t>
      </w:r>
      <w:r w:rsidR="00FF026E" w:rsidRPr="00045946">
        <w:rPr>
          <w:rFonts w:ascii="Garamond" w:hAnsi="Garamond"/>
          <w:color w:val="222222"/>
        </w:rPr>
        <w:t>And i</w:t>
      </w:r>
      <w:r w:rsidR="001815D0" w:rsidRPr="00045946">
        <w:rPr>
          <w:rFonts w:ascii="Garamond" w:hAnsi="Garamond"/>
          <w:color w:val="222222"/>
        </w:rPr>
        <w:t>f single-sex education is</w:t>
      </w:r>
      <w:r w:rsidR="00025AB9" w:rsidRPr="00045946">
        <w:rPr>
          <w:rFonts w:ascii="Garamond" w:hAnsi="Garamond"/>
          <w:color w:val="222222"/>
        </w:rPr>
        <w:t xml:space="preserve"> – as Renz seems to argue –</w:t>
      </w:r>
      <w:r w:rsidR="001815D0" w:rsidRPr="00045946">
        <w:rPr>
          <w:rFonts w:ascii="Garamond" w:hAnsi="Garamond"/>
          <w:color w:val="222222"/>
        </w:rPr>
        <w:t xml:space="preserve"> a project that is against gender oppression</w:t>
      </w:r>
      <w:r w:rsidR="00FF026E" w:rsidRPr="00045946">
        <w:rPr>
          <w:rFonts w:ascii="Garamond" w:hAnsi="Garamond"/>
          <w:color w:val="222222"/>
        </w:rPr>
        <w:t xml:space="preserve"> and is committed to respecting diversity</w:t>
      </w:r>
      <w:r w:rsidR="001815D0" w:rsidRPr="00045946">
        <w:rPr>
          <w:rFonts w:ascii="Garamond" w:hAnsi="Garamond"/>
          <w:color w:val="222222"/>
        </w:rPr>
        <w:t>, then single-sex schools make sense. </w:t>
      </w:r>
      <w:r w:rsidR="00FF026E" w:rsidRPr="00045946">
        <w:rPr>
          <w:rFonts w:ascii="Garamond" w:hAnsi="Garamond"/>
          <w:color w:val="222222"/>
        </w:rPr>
        <w:t>But only if they do not tell us what gender is or can be.</w:t>
      </w:r>
      <w:r w:rsidR="001815D0" w:rsidRPr="00045946">
        <w:rPr>
          <w:rFonts w:ascii="Garamond" w:hAnsi="Garamond"/>
          <w:color w:val="222222"/>
        </w:rPr>
        <w:t xml:space="preserve"> </w:t>
      </w:r>
    </w:p>
    <w:p w14:paraId="6628408F" w14:textId="3141A84F" w:rsidR="0089489D" w:rsidRPr="00045946" w:rsidRDefault="0089489D" w:rsidP="00045946">
      <w:pPr>
        <w:shd w:val="clear" w:color="auto" w:fill="FFFFFF"/>
        <w:spacing w:before="100" w:beforeAutospacing="1" w:after="100" w:afterAutospacing="1" w:line="480" w:lineRule="auto"/>
        <w:contextualSpacing/>
        <w:rPr>
          <w:rFonts w:ascii="Garamond" w:hAnsi="Garamond"/>
          <w:color w:val="222222"/>
          <w:sz w:val="22"/>
          <w:szCs w:val="22"/>
        </w:rPr>
      </w:pPr>
    </w:p>
    <w:p w14:paraId="7968AA8B" w14:textId="3C68F514" w:rsidR="0089489D" w:rsidRPr="00045946" w:rsidRDefault="0089489D" w:rsidP="00D7469F">
      <w:pPr>
        <w:pStyle w:val="Heading2"/>
      </w:pPr>
      <w:r w:rsidRPr="00045946">
        <w:t>References</w:t>
      </w:r>
    </w:p>
    <w:p w14:paraId="4D564306" w14:textId="7FD6F44D" w:rsidR="00A757D6" w:rsidRDefault="0089489D" w:rsidP="00D7469F">
      <w:pPr>
        <w:shd w:val="clear" w:color="auto" w:fill="FFFFFF"/>
        <w:ind w:left="720" w:hanging="720"/>
        <w:contextualSpacing/>
        <w:rPr>
          <w:rFonts w:ascii="Garamond" w:hAnsi="Garamond"/>
          <w:color w:val="222222"/>
        </w:rPr>
      </w:pPr>
      <w:r w:rsidRPr="00045946">
        <w:rPr>
          <w:rFonts w:ascii="Garamond" w:hAnsi="Garamond"/>
          <w:color w:val="222222"/>
        </w:rPr>
        <w:t>Ahmed, S.</w:t>
      </w:r>
      <w:r w:rsidR="00F42C67" w:rsidRPr="00045946">
        <w:rPr>
          <w:rFonts w:ascii="Garamond" w:hAnsi="Garamond"/>
          <w:color w:val="222222"/>
        </w:rPr>
        <w:t xml:space="preserve"> (201</w:t>
      </w:r>
      <w:r w:rsidR="00A757D6" w:rsidRPr="00045946">
        <w:rPr>
          <w:rFonts w:ascii="Garamond" w:hAnsi="Garamond"/>
          <w:color w:val="222222"/>
        </w:rPr>
        <w:t>6</w:t>
      </w:r>
      <w:r w:rsidR="00F42C67" w:rsidRPr="00045946">
        <w:rPr>
          <w:rFonts w:ascii="Garamond" w:hAnsi="Garamond"/>
          <w:color w:val="222222"/>
        </w:rPr>
        <w:t>)</w:t>
      </w:r>
      <w:r w:rsidRPr="00045946">
        <w:rPr>
          <w:rFonts w:ascii="Garamond" w:hAnsi="Garamond"/>
          <w:color w:val="222222"/>
        </w:rPr>
        <w:t xml:space="preserve"> An Affinity of Hammers. </w:t>
      </w:r>
      <w:r w:rsidR="00A757D6" w:rsidRPr="00045946">
        <w:rPr>
          <w:rFonts w:ascii="Garamond" w:hAnsi="Garamond"/>
          <w:i/>
          <w:iCs/>
          <w:color w:val="222222"/>
        </w:rPr>
        <w:t>TSQ: Transgender Studies Quarterly</w:t>
      </w:r>
      <w:r w:rsidR="00A757D6" w:rsidRPr="00045946">
        <w:rPr>
          <w:rFonts w:ascii="Garamond" w:hAnsi="Garamond"/>
          <w:color w:val="222222"/>
        </w:rPr>
        <w:t xml:space="preserve"> 3(1-2): 22-34.</w:t>
      </w:r>
    </w:p>
    <w:p w14:paraId="1DEF91A0" w14:textId="495CC78D" w:rsidR="00354057" w:rsidRDefault="00B1155C" w:rsidP="00354057">
      <w:pPr>
        <w:shd w:val="clear" w:color="auto" w:fill="FFFFFF"/>
        <w:spacing w:before="100" w:beforeAutospacing="1" w:after="100" w:afterAutospacing="1"/>
        <w:ind w:left="720" w:hanging="720"/>
        <w:contextualSpacing/>
        <w:rPr>
          <w:rFonts w:ascii="Garamond" w:hAnsi="Garamond"/>
          <w:color w:val="222222"/>
        </w:rPr>
      </w:pPr>
      <w:proofErr w:type="spellStart"/>
      <w:r>
        <w:rPr>
          <w:rFonts w:ascii="Garamond" w:hAnsi="Garamond"/>
          <w:color w:val="222222"/>
        </w:rPr>
        <w:t>Bettcher</w:t>
      </w:r>
      <w:proofErr w:type="spellEnd"/>
      <w:r>
        <w:rPr>
          <w:rFonts w:ascii="Garamond" w:hAnsi="Garamond"/>
          <w:color w:val="222222"/>
        </w:rPr>
        <w:t>, TM. (2007) Evil Deceivers and Make-Believers: On Transphobic V</w:t>
      </w:r>
      <w:r w:rsidR="002E3772">
        <w:rPr>
          <w:rFonts w:ascii="Garamond" w:hAnsi="Garamond"/>
          <w:color w:val="222222"/>
        </w:rPr>
        <w:t xml:space="preserve">iolence and the </w:t>
      </w:r>
      <w:r>
        <w:rPr>
          <w:rFonts w:ascii="Garamond" w:hAnsi="Garamond"/>
          <w:color w:val="222222"/>
        </w:rPr>
        <w:t>P</w:t>
      </w:r>
      <w:r w:rsidR="002E3772">
        <w:rPr>
          <w:rFonts w:ascii="Garamond" w:hAnsi="Garamond"/>
          <w:color w:val="222222"/>
        </w:rPr>
        <w:t xml:space="preserve">olitics of </w:t>
      </w:r>
      <w:r>
        <w:rPr>
          <w:rFonts w:ascii="Garamond" w:hAnsi="Garamond"/>
          <w:color w:val="222222"/>
        </w:rPr>
        <w:t>I</w:t>
      </w:r>
      <w:r w:rsidR="002E3772">
        <w:rPr>
          <w:rFonts w:ascii="Garamond" w:hAnsi="Garamond"/>
          <w:color w:val="222222"/>
        </w:rPr>
        <w:t xml:space="preserve">llusion. </w:t>
      </w:r>
      <w:proofErr w:type="spellStart"/>
      <w:r w:rsidR="002E3772" w:rsidRPr="006A24FD">
        <w:rPr>
          <w:rFonts w:ascii="Garamond" w:hAnsi="Garamond"/>
          <w:i/>
          <w:iCs/>
          <w:color w:val="222222"/>
        </w:rPr>
        <w:t>Hypatia</w:t>
      </w:r>
      <w:proofErr w:type="spellEnd"/>
      <w:r w:rsidR="002E3772">
        <w:rPr>
          <w:rFonts w:ascii="Garamond" w:hAnsi="Garamond"/>
          <w:color w:val="222222"/>
        </w:rPr>
        <w:t xml:space="preserve"> 22(3): 43-65.</w:t>
      </w:r>
    </w:p>
    <w:p w14:paraId="677C3922" w14:textId="54D8DA8C" w:rsidR="00A757D6" w:rsidRPr="00045946" w:rsidRDefault="002669DA" w:rsidP="00354057">
      <w:pPr>
        <w:shd w:val="clear" w:color="auto" w:fill="FFFFFF"/>
        <w:spacing w:before="100" w:beforeAutospacing="1" w:after="100" w:afterAutospacing="1"/>
        <w:ind w:left="720" w:hanging="720"/>
        <w:contextualSpacing/>
        <w:rPr>
          <w:rFonts w:ascii="Garamond" w:hAnsi="Garamond"/>
          <w:color w:val="222222"/>
        </w:rPr>
      </w:pPr>
      <w:r w:rsidRPr="00045946">
        <w:rPr>
          <w:rFonts w:ascii="Garamond" w:hAnsi="Garamond"/>
          <w:color w:val="222222"/>
        </w:rPr>
        <w:t xml:space="preserve">Foucault, </w:t>
      </w:r>
      <w:r w:rsidR="00F42C67" w:rsidRPr="00045946">
        <w:rPr>
          <w:rFonts w:ascii="Garamond" w:hAnsi="Garamond"/>
          <w:color w:val="222222"/>
        </w:rPr>
        <w:t>M</w:t>
      </w:r>
      <w:r w:rsidRPr="00045946">
        <w:rPr>
          <w:rFonts w:ascii="Garamond" w:hAnsi="Garamond"/>
          <w:color w:val="222222"/>
        </w:rPr>
        <w:t xml:space="preserve">. </w:t>
      </w:r>
      <w:r w:rsidR="00A757D6" w:rsidRPr="00045946">
        <w:rPr>
          <w:rFonts w:ascii="Garamond" w:hAnsi="Garamond"/>
          <w:color w:val="222222"/>
        </w:rPr>
        <w:t>(</w:t>
      </w:r>
      <w:r w:rsidRPr="00045946">
        <w:rPr>
          <w:rFonts w:ascii="Garamond" w:hAnsi="Garamond"/>
          <w:color w:val="222222"/>
        </w:rPr>
        <w:t>1990</w:t>
      </w:r>
      <w:r w:rsidR="00A757D6" w:rsidRPr="00045946">
        <w:rPr>
          <w:rFonts w:ascii="Garamond" w:hAnsi="Garamond"/>
          <w:color w:val="222222"/>
        </w:rPr>
        <w:t>)</w:t>
      </w:r>
      <w:r w:rsidRPr="00045946">
        <w:rPr>
          <w:rFonts w:ascii="Garamond" w:hAnsi="Garamond"/>
          <w:color w:val="222222"/>
        </w:rPr>
        <w:t xml:space="preserve"> </w:t>
      </w:r>
      <w:r w:rsidRPr="00045946">
        <w:rPr>
          <w:rFonts w:ascii="Garamond" w:hAnsi="Garamond"/>
          <w:i/>
          <w:color w:val="222222"/>
        </w:rPr>
        <w:t>The History of Sexuality</w:t>
      </w:r>
      <w:r w:rsidR="00B1155C">
        <w:rPr>
          <w:rFonts w:ascii="Garamond" w:hAnsi="Garamond"/>
          <w:color w:val="222222"/>
        </w:rPr>
        <w:t xml:space="preserve"> </w:t>
      </w:r>
      <w:r w:rsidRPr="00B1155C">
        <w:rPr>
          <w:rFonts w:ascii="Garamond" w:hAnsi="Garamond"/>
          <w:i/>
          <w:color w:val="222222"/>
        </w:rPr>
        <w:t>Vol</w:t>
      </w:r>
      <w:r w:rsidR="00B1155C" w:rsidRPr="00B1155C">
        <w:rPr>
          <w:rFonts w:ascii="Garamond" w:hAnsi="Garamond"/>
          <w:i/>
          <w:color w:val="222222"/>
        </w:rPr>
        <w:t>. 1: An Introduction</w:t>
      </w:r>
      <w:r w:rsidRPr="00045946">
        <w:rPr>
          <w:rFonts w:ascii="Garamond" w:hAnsi="Garamond"/>
          <w:color w:val="222222"/>
        </w:rPr>
        <w:t xml:space="preserve">. Translated by Robert Hurley. New York: Vintage Books. </w:t>
      </w:r>
    </w:p>
    <w:p w14:paraId="2BD4016F" w14:textId="6BFF8ABF" w:rsidR="00F93775" w:rsidRDefault="00A757D6" w:rsidP="00354057">
      <w:pPr>
        <w:shd w:val="clear" w:color="auto" w:fill="FFFFFF"/>
        <w:spacing w:before="100" w:beforeAutospacing="1" w:after="100" w:afterAutospacing="1"/>
        <w:ind w:left="720" w:hanging="720"/>
        <w:contextualSpacing/>
        <w:rPr>
          <w:rFonts w:ascii="Garamond" w:hAnsi="Garamond"/>
          <w:color w:val="222222"/>
        </w:rPr>
      </w:pPr>
      <w:proofErr w:type="spellStart"/>
      <w:r w:rsidRPr="00045946">
        <w:rPr>
          <w:rFonts w:ascii="Garamond" w:hAnsi="Garamond"/>
          <w:color w:val="222222"/>
        </w:rPr>
        <w:lastRenderedPageBreak/>
        <w:t>Katyal</w:t>
      </w:r>
      <w:proofErr w:type="spellEnd"/>
      <w:r w:rsidRPr="00045946">
        <w:rPr>
          <w:rFonts w:ascii="Garamond" w:hAnsi="Garamond"/>
          <w:color w:val="222222"/>
        </w:rPr>
        <w:t xml:space="preserve">, SK. (2017) The </w:t>
      </w:r>
      <w:r w:rsidRPr="00045946">
        <w:rPr>
          <w:rFonts w:ascii="Garamond" w:hAnsi="Garamond"/>
          <w:i/>
          <w:iCs/>
          <w:color w:val="222222"/>
        </w:rPr>
        <w:t xml:space="preserve">Numerus </w:t>
      </w:r>
      <w:proofErr w:type="spellStart"/>
      <w:r w:rsidRPr="00045946">
        <w:rPr>
          <w:rFonts w:ascii="Garamond" w:hAnsi="Garamond"/>
          <w:i/>
          <w:iCs/>
          <w:color w:val="222222"/>
        </w:rPr>
        <w:t>Clausus</w:t>
      </w:r>
      <w:proofErr w:type="spellEnd"/>
      <w:r w:rsidRPr="00045946">
        <w:rPr>
          <w:rFonts w:ascii="Garamond" w:hAnsi="Garamond"/>
          <w:color w:val="222222"/>
        </w:rPr>
        <w:t xml:space="preserve"> of Sex. </w:t>
      </w:r>
      <w:r w:rsidRPr="00045946">
        <w:rPr>
          <w:rFonts w:ascii="Garamond" w:hAnsi="Garamond"/>
          <w:i/>
          <w:iCs/>
          <w:color w:val="222222"/>
        </w:rPr>
        <w:t>University of Chicago Law Review</w:t>
      </w:r>
      <w:r w:rsidR="00B1155C">
        <w:rPr>
          <w:rFonts w:ascii="Garamond" w:hAnsi="Garamond"/>
          <w:i/>
          <w:iCs/>
          <w:color w:val="222222"/>
        </w:rPr>
        <w:t xml:space="preserve"> </w:t>
      </w:r>
      <w:r w:rsidRPr="00045946">
        <w:rPr>
          <w:rFonts w:ascii="Garamond" w:hAnsi="Garamond"/>
          <w:color w:val="222222"/>
        </w:rPr>
        <w:t>84(1): 389-494.</w:t>
      </w:r>
    </w:p>
    <w:p w14:paraId="735A0F4F" w14:textId="7801CB79" w:rsidR="0089489D" w:rsidRPr="00045946" w:rsidRDefault="00F93775" w:rsidP="00354057">
      <w:pPr>
        <w:shd w:val="clear" w:color="auto" w:fill="FFFFFF"/>
        <w:spacing w:before="100" w:beforeAutospacing="1" w:after="100" w:afterAutospacing="1"/>
        <w:ind w:left="720" w:hanging="720"/>
        <w:contextualSpacing/>
        <w:rPr>
          <w:rFonts w:ascii="Garamond" w:hAnsi="Garamond"/>
          <w:color w:val="222222"/>
        </w:rPr>
      </w:pPr>
      <w:proofErr w:type="spellStart"/>
      <w:r>
        <w:rPr>
          <w:rFonts w:ascii="Garamond" w:hAnsi="Garamond"/>
          <w:color w:val="222222"/>
        </w:rPr>
        <w:t>Kuhar</w:t>
      </w:r>
      <w:proofErr w:type="spellEnd"/>
      <w:r>
        <w:rPr>
          <w:rFonts w:ascii="Garamond" w:hAnsi="Garamond"/>
          <w:color w:val="222222"/>
        </w:rPr>
        <w:t xml:space="preserve">, R and </w:t>
      </w:r>
      <w:proofErr w:type="spellStart"/>
      <w:r>
        <w:rPr>
          <w:rFonts w:ascii="Garamond" w:hAnsi="Garamond"/>
          <w:color w:val="222222"/>
        </w:rPr>
        <w:t>Paternotte</w:t>
      </w:r>
      <w:proofErr w:type="spellEnd"/>
      <w:r>
        <w:rPr>
          <w:rFonts w:ascii="Garamond" w:hAnsi="Garamond"/>
          <w:color w:val="222222"/>
        </w:rPr>
        <w:t xml:space="preserve">, D. (eds) (2017) </w:t>
      </w:r>
      <w:r w:rsidR="00B1155C">
        <w:rPr>
          <w:rFonts w:ascii="Garamond" w:hAnsi="Garamond"/>
          <w:i/>
          <w:iCs/>
          <w:color w:val="222222"/>
        </w:rPr>
        <w:t>Anti-gender C</w:t>
      </w:r>
      <w:r w:rsidRPr="006A24FD">
        <w:rPr>
          <w:rFonts w:ascii="Garamond" w:hAnsi="Garamond"/>
          <w:i/>
          <w:iCs/>
          <w:color w:val="222222"/>
        </w:rPr>
        <w:t>ampaigns in Europe: Mobi</w:t>
      </w:r>
      <w:r w:rsidR="00B1155C">
        <w:rPr>
          <w:rFonts w:ascii="Garamond" w:hAnsi="Garamond"/>
          <w:i/>
          <w:iCs/>
          <w:color w:val="222222"/>
        </w:rPr>
        <w:t>lizing Against E</w:t>
      </w:r>
      <w:r w:rsidRPr="006A24FD">
        <w:rPr>
          <w:rFonts w:ascii="Garamond" w:hAnsi="Garamond"/>
          <w:i/>
          <w:iCs/>
          <w:color w:val="222222"/>
        </w:rPr>
        <w:t>quality</w:t>
      </w:r>
      <w:r>
        <w:rPr>
          <w:rFonts w:ascii="Garamond" w:hAnsi="Garamond"/>
          <w:color w:val="222222"/>
        </w:rPr>
        <w:t>. London: Rowman &amp; Littlefield.</w:t>
      </w:r>
    </w:p>
    <w:p w14:paraId="7BC6C707" w14:textId="5AFE1C48" w:rsidR="00D47892" w:rsidRDefault="0089489D" w:rsidP="00354057">
      <w:pPr>
        <w:shd w:val="clear" w:color="auto" w:fill="FFFFFF"/>
        <w:spacing w:before="100" w:beforeAutospacing="1" w:after="100" w:afterAutospacing="1"/>
        <w:ind w:left="720" w:hanging="720"/>
        <w:contextualSpacing/>
        <w:rPr>
          <w:rFonts w:ascii="Garamond" w:hAnsi="Garamond"/>
          <w:color w:val="222222"/>
        </w:rPr>
      </w:pPr>
      <w:r w:rsidRPr="00045946">
        <w:rPr>
          <w:rFonts w:ascii="Garamond" w:hAnsi="Garamond"/>
          <w:color w:val="222222"/>
        </w:rPr>
        <w:t xml:space="preserve">Spade, </w:t>
      </w:r>
      <w:r w:rsidR="00F42C67" w:rsidRPr="00045946">
        <w:rPr>
          <w:rFonts w:ascii="Garamond" w:hAnsi="Garamond"/>
          <w:color w:val="222222"/>
        </w:rPr>
        <w:t>D</w:t>
      </w:r>
      <w:r w:rsidRPr="00045946">
        <w:rPr>
          <w:rFonts w:ascii="Garamond" w:hAnsi="Garamond"/>
          <w:color w:val="222222"/>
        </w:rPr>
        <w:t>.</w:t>
      </w:r>
      <w:r w:rsidR="00F42C67" w:rsidRPr="00045946">
        <w:rPr>
          <w:rFonts w:ascii="Garamond" w:hAnsi="Garamond"/>
          <w:color w:val="222222"/>
        </w:rPr>
        <w:t xml:space="preserve"> (2008)</w:t>
      </w:r>
      <w:r w:rsidRPr="00045946">
        <w:rPr>
          <w:rFonts w:ascii="Garamond" w:hAnsi="Garamond"/>
          <w:color w:val="222222"/>
        </w:rPr>
        <w:t xml:space="preserve"> Documenting Gender. </w:t>
      </w:r>
      <w:r w:rsidRPr="00045946">
        <w:rPr>
          <w:rFonts w:ascii="Garamond" w:hAnsi="Garamond"/>
          <w:i/>
          <w:iCs/>
          <w:color w:val="222222"/>
        </w:rPr>
        <w:t>Hastings Law Journal</w:t>
      </w:r>
      <w:r w:rsidRPr="00045946">
        <w:rPr>
          <w:rFonts w:ascii="Garamond" w:hAnsi="Garamond"/>
          <w:color w:val="222222"/>
        </w:rPr>
        <w:t xml:space="preserve"> 59</w:t>
      </w:r>
      <w:r w:rsidR="00A757D6" w:rsidRPr="00045946">
        <w:rPr>
          <w:rFonts w:ascii="Garamond" w:hAnsi="Garamond"/>
          <w:color w:val="222222"/>
        </w:rPr>
        <w:t>(</w:t>
      </w:r>
      <w:r w:rsidRPr="00045946">
        <w:rPr>
          <w:rFonts w:ascii="Garamond" w:hAnsi="Garamond"/>
          <w:color w:val="222222"/>
        </w:rPr>
        <w:t>1</w:t>
      </w:r>
      <w:r w:rsidR="00A757D6" w:rsidRPr="00045946">
        <w:rPr>
          <w:rFonts w:ascii="Garamond" w:hAnsi="Garamond"/>
          <w:color w:val="222222"/>
        </w:rPr>
        <w:t>)</w:t>
      </w:r>
      <w:r w:rsidR="00B1155C">
        <w:rPr>
          <w:rFonts w:ascii="Garamond" w:hAnsi="Garamond"/>
          <w:color w:val="222222"/>
        </w:rPr>
        <w:t>:</w:t>
      </w:r>
      <w:r w:rsidR="00F42C67" w:rsidRPr="00045946">
        <w:rPr>
          <w:rFonts w:ascii="Garamond" w:hAnsi="Garamond"/>
          <w:color w:val="222222"/>
        </w:rPr>
        <w:t xml:space="preserve"> </w:t>
      </w:r>
      <w:r w:rsidR="00EA2EB5" w:rsidRPr="00045946">
        <w:rPr>
          <w:rFonts w:ascii="Garamond" w:hAnsi="Garamond"/>
          <w:color w:val="222222"/>
        </w:rPr>
        <w:t>731-842.</w:t>
      </w:r>
    </w:p>
    <w:p w14:paraId="2C066630" w14:textId="0B9164D1" w:rsidR="00D47892" w:rsidRPr="00D47892" w:rsidRDefault="00B1155C" w:rsidP="00354057">
      <w:pPr>
        <w:shd w:val="clear" w:color="auto" w:fill="FFFFFF"/>
        <w:spacing w:before="100" w:beforeAutospacing="1" w:after="100" w:afterAutospacing="1"/>
        <w:ind w:left="720" w:hanging="720"/>
        <w:contextualSpacing/>
        <w:rPr>
          <w:rFonts w:ascii="Garamond" w:hAnsi="Garamond"/>
          <w:color w:val="222222"/>
        </w:rPr>
      </w:pPr>
      <w:r>
        <w:rPr>
          <w:rFonts w:ascii="Garamond" w:hAnsi="Garamond"/>
          <w:color w:val="222222"/>
        </w:rPr>
        <w:t>Truitt, J. (</w:t>
      </w:r>
      <w:r w:rsidR="00D47892">
        <w:rPr>
          <w:rFonts w:ascii="Garamond" w:hAnsi="Garamond"/>
          <w:color w:val="222222"/>
        </w:rPr>
        <w:t xml:space="preserve">2016) </w:t>
      </w:r>
      <w:r w:rsidR="00D47892" w:rsidRPr="006A24FD">
        <w:rPr>
          <w:rFonts w:ascii="Garamond" w:hAnsi="Garamond"/>
          <w:color w:val="222222"/>
        </w:rPr>
        <w:t>Transgender People Are More Visible Than Ever. So Why Is There More Anti-Trans Legislation Than Ever, Too?</w:t>
      </w:r>
      <w:r w:rsidR="00D47892">
        <w:rPr>
          <w:rFonts w:ascii="Garamond" w:hAnsi="Garamond"/>
          <w:color w:val="222222"/>
        </w:rPr>
        <w:t xml:space="preserve"> </w:t>
      </w:r>
      <w:r w:rsidR="00D47892" w:rsidRPr="006A24FD">
        <w:rPr>
          <w:rFonts w:ascii="Garamond" w:hAnsi="Garamond"/>
          <w:i/>
          <w:iCs/>
          <w:color w:val="222222"/>
        </w:rPr>
        <w:t>The Nation</w:t>
      </w:r>
      <w:r>
        <w:rPr>
          <w:rFonts w:ascii="Garamond" w:hAnsi="Garamond"/>
          <w:iCs/>
          <w:color w:val="222222"/>
        </w:rPr>
        <w:t xml:space="preserve"> 4 March</w:t>
      </w:r>
      <w:r w:rsidR="00D47892">
        <w:rPr>
          <w:rFonts w:ascii="Garamond" w:hAnsi="Garamond"/>
          <w:color w:val="222222"/>
        </w:rPr>
        <w:t xml:space="preserve">. Available at:  </w:t>
      </w:r>
      <w:hyperlink r:id="rId8" w:history="1">
        <w:r w:rsidR="00D47892" w:rsidRPr="00D47892">
          <w:rPr>
            <w:rStyle w:val="Hyperlink"/>
            <w:rFonts w:ascii="Garamond" w:hAnsi="Garamond"/>
          </w:rPr>
          <w:t>https://www.thenation.com/article/archive/transgender-people-are-more-visible-than-ever-so-why-is-there-more-anti-trans-legislation-than-ever-too/</w:t>
        </w:r>
      </w:hyperlink>
    </w:p>
    <w:p w14:paraId="12CC91C9" w14:textId="0C8AF756" w:rsidR="00D47892" w:rsidRPr="00045946" w:rsidRDefault="00D47892" w:rsidP="00354057">
      <w:pPr>
        <w:spacing w:before="100" w:beforeAutospacing="1" w:after="100" w:afterAutospacing="1"/>
        <w:contextualSpacing/>
        <w:rPr>
          <w:rFonts w:ascii="Garamond" w:hAnsi="Garamond"/>
          <w:color w:val="222222"/>
        </w:rPr>
      </w:pPr>
    </w:p>
    <w:p w14:paraId="7AAA1823" w14:textId="77777777" w:rsidR="0089489D" w:rsidRPr="00045946" w:rsidRDefault="0089489D" w:rsidP="00354057">
      <w:pPr>
        <w:shd w:val="clear" w:color="auto" w:fill="FFFFFF"/>
        <w:spacing w:before="100" w:beforeAutospacing="1" w:after="100" w:afterAutospacing="1"/>
        <w:contextualSpacing/>
        <w:rPr>
          <w:rFonts w:ascii="Garamond" w:hAnsi="Garamond"/>
          <w:color w:val="222222"/>
        </w:rPr>
      </w:pPr>
    </w:p>
    <w:sectPr w:rsidR="0089489D" w:rsidRPr="00045946" w:rsidSect="00D7469F">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A6D7F" w14:textId="77777777" w:rsidR="00366D0D" w:rsidRDefault="00366D0D" w:rsidP="00D41E64">
      <w:r>
        <w:separator/>
      </w:r>
    </w:p>
  </w:endnote>
  <w:endnote w:type="continuationSeparator" w:id="0">
    <w:p w14:paraId="16FF13A8" w14:textId="77777777" w:rsidR="00366D0D" w:rsidRDefault="00366D0D" w:rsidP="00D4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auto"/>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55645"/>
      <w:docPartObj>
        <w:docPartGallery w:val="Page Numbers (Bottom of Page)"/>
        <w:docPartUnique/>
      </w:docPartObj>
    </w:sdtPr>
    <w:sdtEndPr>
      <w:rPr>
        <w:noProof/>
      </w:rPr>
    </w:sdtEndPr>
    <w:sdtContent>
      <w:p w14:paraId="06F97217" w14:textId="47153574" w:rsidR="00D7469F" w:rsidRDefault="00D7469F">
        <w:pPr>
          <w:pStyle w:val="Footer"/>
          <w:jc w:val="center"/>
          <w:rPr>
            <w:sz w:val="22"/>
            <w:szCs w:val="22"/>
          </w:rPr>
        </w:pPr>
        <w:r>
          <w:rPr>
            <w:sz w:val="22"/>
            <w:szCs w:val="22"/>
          </w:rPr>
          <w:t>_____________________________________________________________________________________</w:t>
        </w:r>
      </w:p>
      <w:p w14:paraId="13B08E71" w14:textId="6BDFB6CC" w:rsidR="00D7469F" w:rsidRPr="00D7469F" w:rsidRDefault="00D7469F">
        <w:pPr>
          <w:pStyle w:val="Footer"/>
          <w:jc w:val="center"/>
          <w:rPr>
            <w:sz w:val="22"/>
            <w:szCs w:val="22"/>
          </w:rPr>
        </w:pPr>
      </w:p>
      <w:p w14:paraId="21F2D827" w14:textId="05ABE679" w:rsidR="00D7469F" w:rsidRDefault="00D7469F">
        <w:pPr>
          <w:pStyle w:val="Footer"/>
          <w:jc w:val="center"/>
        </w:pPr>
        <w:r w:rsidRPr="00D7469F">
          <w:rPr>
            <w:sz w:val="22"/>
            <w:szCs w:val="22"/>
          </w:rPr>
          <w:fldChar w:fldCharType="begin"/>
        </w:r>
        <w:r w:rsidRPr="00D7469F">
          <w:rPr>
            <w:sz w:val="22"/>
            <w:szCs w:val="22"/>
          </w:rPr>
          <w:instrText xml:space="preserve"> PAGE   \* MERGEFORMAT </w:instrText>
        </w:r>
        <w:r w:rsidRPr="00D7469F">
          <w:rPr>
            <w:sz w:val="22"/>
            <w:szCs w:val="22"/>
          </w:rPr>
          <w:fldChar w:fldCharType="separate"/>
        </w:r>
        <w:r>
          <w:rPr>
            <w:noProof/>
            <w:sz w:val="22"/>
            <w:szCs w:val="22"/>
          </w:rPr>
          <w:t>6</w:t>
        </w:r>
        <w:r w:rsidRPr="00D7469F">
          <w:rPr>
            <w:noProof/>
            <w:sz w:val="22"/>
            <w:szCs w:val="22"/>
          </w:rPr>
          <w:fldChar w:fldCharType="end"/>
        </w:r>
      </w:p>
    </w:sdtContent>
  </w:sdt>
  <w:p w14:paraId="19F18767" w14:textId="77777777" w:rsidR="004F002D" w:rsidRDefault="004F002D" w:rsidP="004F00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59578"/>
      <w:docPartObj>
        <w:docPartGallery w:val="Page Numbers (Bottom of Page)"/>
        <w:docPartUnique/>
      </w:docPartObj>
    </w:sdtPr>
    <w:sdtEndPr>
      <w:rPr>
        <w:noProof/>
      </w:rPr>
    </w:sdtEndPr>
    <w:sdtContent>
      <w:p w14:paraId="1E46CCDF" w14:textId="52BEFDA9" w:rsidR="00D7469F" w:rsidRDefault="00D7469F">
        <w:pPr>
          <w:pStyle w:val="Footer"/>
          <w:jc w:val="center"/>
          <w:rPr>
            <w:sz w:val="22"/>
            <w:szCs w:val="22"/>
          </w:rPr>
        </w:pPr>
        <w:r>
          <w:rPr>
            <w:sz w:val="22"/>
            <w:szCs w:val="22"/>
          </w:rPr>
          <w:t>_____________________________________________________________________________________</w:t>
        </w:r>
      </w:p>
      <w:p w14:paraId="041617BC" w14:textId="7D9025E6" w:rsidR="00D7469F" w:rsidRPr="00D7469F" w:rsidRDefault="00D7469F">
        <w:pPr>
          <w:pStyle w:val="Footer"/>
          <w:jc w:val="center"/>
          <w:rPr>
            <w:sz w:val="22"/>
            <w:szCs w:val="22"/>
          </w:rPr>
        </w:pPr>
      </w:p>
      <w:p w14:paraId="47834AC4" w14:textId="00F37CA5" w:rsidR="00D7469F" w:rsidRDefault="00D7469F">
        <w:pPr>
          <w:pStyle w:val="Footer"/>
          <w:jc w:val="center"/>
        </w:pPr>
        <w:r w:rsidRPr="00D7469F">
          <w:rPr>
            <w:sz w:val="22"/>
            <w:szCs w:val="22"/>
          </w:rPr>
          <w:fldChar w:fldCharType="begin"/>
        </w:r>
        <w:r w:rsidRPr="00D7469F">
          <w:rPr>
            <w:sz w:val="22"/>
            <w:szCs w:val="22"/>
          </w:rPr>
          <w:instrText xml:space="preserve"> PAGE   \* MERGEFORMAT </w:instrText>
        </w:r>
        <w:r w:rsidRPr="00D7469F">
          <w:rPr>
            <w:sz w:val="22"/>
            <w:szCs w:val="22"/>
          </w:rPr>
          <w:fldChar w:fldCharType="separate"/>
        </w:r>
        <w:r>
          <w:rPr>
            <w:noProof/>
            <w:sz w:val="22"/>
            <w:szCs w:val="22"/>
          </w:rPr>
          <w:t>7</w:t>
        </w:r>
        <w:r w:rsidRPr="00D7469F">
          <w:rPr>
            <w:noProof/>
            <w:sz w:val="22"/>
            <w:szCs w:val="22"/>
          </w:rPr>
          <w:fldChar w:fldCharType="end"/>
        </w:r>
      </w:p>
    </w:sdtContent>
  </w:sdt>
  <w:p w14:paraId="28F1F1ED" w14:textId="77777777" w:rsidR="004F002D" w:rsidRPr="004F002D" w:rsidRDefault="004F002D" w:rsidP="004F002D">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52BDE" w14:textId="77777777" w:rsidR="00366D0D" w:rsidRDefault="00366D0D" w:rsidP="00D41E64">
      <w:r>
        <w:separator/>
      </w:r>
    </w:p>
  </w:footnote>
  <w:footnote w:type="continuationSeparator" w:id="0">
    <w:p w14:paraId="23342799" w14:textId="77777777" w:rsidR="00366D0D" w:rsidRDefault="00366D0D" w:rsidP="00D41E64">
      <w:r>
        <w:continuationSeparator/>
      </w:r>
    </w:p>
  </w:footnote>
  <w:footnote w:id="1">
    <w:p w14:paraId="51FB5482" w14:textId="2B54E7F2" w:rsidR="00D7469F" w:rsidRDefault="00D7469F">
      <w:pPr>
        <w:pStyle w:val="FootnoteText"/>
      </w:pPr>
      <w:r>
        <w:rPr>
          <w:rStyle w:val="FootnoteReference"/>
        </w:rPr>
        <w:t>*</w:t>
      </w:r>
      <w:r>
        <w:t xml:space="preserve"> </w:t>
      </w:r>
      <w:r w:rsidRPr="00004ABE">
        <w:rPr>
          <w:rFonts w:ascii="Garamond" w:hAnsi="Garamond"/>
          <w:sz w:val="20"/>
          <w:szCs w:val="20"/>
          <w:lang w:val="en-US"/>
        </w:rPr>
        <w:t>Assistant Professor of Gender</w:t>
      </w:r>
      <w:r>
        <w:rPr>
          <w:rFonts w:ascii="Garamond" w:hAnsi="Garamond"/>
          <w:sz w:val="20"/>
          <w:szCs w:val="20"/>
          <w:lang w:val="en-US"/>
        </w:rPr>
        <w:t xml:space="preserve"> Studies, Utrecht University, Netherlands.</w:t>
      </w:r>
      <w:r w:rsidRPr="00004ABE">
        <w:rPr>
          <w:rFonts w:ascii="Garamond" w:hAnsi="Garamond"/>
          <w:sz w:val="20"/>
          <w:szCs w:val="20"/>
          <w:lang w:val="en-US"/>
        </w:rPr>
        <w:t xml:space="preserve">. Email: </w:t>
      </w:r>
      <w:hyperlink r:id="rId1" w:history="1">
        <w:r w:rsidRPr="00004ABE">
          <w:rPr>
            <w:rStyle w:val="Hyperlink"/>
            <w:rFonts w:ascii="Garamond" w:hAnsi="Garamond"/>
            <w:sz w:val="20"/>
            <w:szCs w:val="20"/>
          </w:rPr>
          <w:t>c.l.quinan@uu.nl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034CF" w14:textId="7E2FA5D2" w:rsidR="00D7469F" w:rsidRDefault="00D7469F">
    <w:pPr>
      <w:pStyle w:val="Header"/>
      <w:rPr>
        <w:sz w:val="22"/>
        <w:szCs w:val="22"/>
      </w:rPr>
    </w:pPr>
    <w:r>
      <w:rPr>
        <w:sz w:val="22"/>
        <w:szCs w:val="22"/>
      </w:rPr>
      <w:t>CL Quinan</w:t>
    </w:r>
    <w:r>
      <w:rPr>
        <w:sz w:val="22"/>
        <w:szCs w:val="22"/>
      </w:rPr>
      <w:tab/>
    </w:r>
    <w:r>
      <w:rPr>
        <w:sz w:val="22"/>
        <w:szCs w:val="22"/>
      </w:rPr>
      <w:tab/>
      <w:t>Negotiating binary conceptions of sex/gender</w:t>
    </w:r>
  </w:p>
  <w:p w14:paraId="04F9752F" w14:textId="751604B6" w:rsidR="00D7469F" w:rsidRPr="00D7469F" w:rsidRDefault="00D7469F">
    <w:pPr>
      <w:pStyle w:val="Header"/>
      <w:rPr>
        <w:sz w:val="22"/>
        <w:szCs w:val="22"/>
      </w:rPr>
    </w:pPr>
    <w:r>
      <w:rPr>
        <w:sz w:val="22"/>
        <w:szCs w:val="22"/>
      </w:rP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1EED" w14:textId="1A5DC623" w:rsidR="004F002D" w:rsidRPr="00D7469F" w:rsidRDefault="00D7469F" w:rsidP="00D7469F">
    <w:pPr>
      <w:pStyle w:val="Header"/>
      <w:rPr>
        <w:rFonts w:cstheme="minorHAnsi"/>
        <w:sz w:val="22"/>
        <w:szCs w:val="22"/>
      </w:rPr>
    </w:pPr>
    <w:proofErr w:type="spellStart"/>
    <w:r w:rsidRPr="00D7469F">
      <w:rPr>
        <w:rFonts w:cstheme="minorHAnsi"/>
        <w:i/>
        <w:sz w:val="22"/>
        <w:szCs w:val="22"/>
      </w:rPr>
      <w:t>feminists@law</w:t>
    </w:r>
    <w:proofErr w:type="spellEnd"/>
    <w:r w:rsidRPr="00D7469F">
      <w:rPr>
        <w:rFonts w:cstheme="minorHAnsi"/>
        <w:sz w:val="22"/>
        <w:szCs w:val="22"/>
      </w:rPr>
      <w:tab/>
    </w:r>
    <w:r w:rsidRPr="00D7469F">
      <w:rPr>
        <w:rFonts w:cstheme="minorHAnsi"/>
        <w:sz w:val="22"/>
        <w:szCs w:val="22"/>
      </w:rPr>
      <w:tab/>
      <w:t>Vol 10, No 2 (2020)</w:t>
    </w:r>
  </w:p>
  <w:p w14:paraId="1A86EB35" w14:textId="3B6485C3" w:rsidR="00D7469F" w:rsidRPr="00D7469F" w:rsidRDefault="00D7469F" w:rsidP="00D7469F">
    <w:pPr>
      <w:pStyle w:val="Header"/>
      <w:rPr>
        <w:rFonts w:cstheme="minorHAnsi"/>
        <w:sz w:val="22"/>
        <w:szCs w:val="22"/>
      </w:rPr>
    </w:pPr>
    <w:r w:rsidRPr="00D7469F">
      <w:rPr>
        <w:rFonts w:cstheme="minorHAnsi"/>
        <w:sz w:val="22"/>
        <w:szCs w:val="22"/>
      </w:rPr>
      <w:t>____________________________________________________________________________</w:t>
    </w:r>
    <w:r>
      <w:rPr>
        <w:rFonts w:cstheme="minorHAnsi"/>
        <w:sz w:val="22"/>
        <w:szCs w:val="22"/>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7605"/>
    <w:multiLevelType w:val="multilevel"/>
    <w:tmpl w:val="FC30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D5A3A"/>
    <w:multiLevelType w:val="multilevel"/>
    <w:tmpl w:val="5972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73DC"/>
    <w:multiLevelType w:val="multilevel"/>
    <w:tmpl w:val="326A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B492A"/>
    <w:multiLevelType w:val="multilevel"/>
    <w:tmpl w:val="22D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A35DC"/>
    <w:multiLevelType w:val="hybridMultilevel"/>
    <w:tmpl w:val="EFA2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72423"/>
    <w:multiLevelType w:val="multilevel"/>
    <w:tmpl w:val="F970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5453F"/>
    <w:multiLevelType w:val="multilevel"/>
    <w:tmpl w:val="A040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231D9E"/>
    <w:multiLevelType w:val="multilevel"/>
    <w:tmpl w:val="E494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204E6"/>
    <w:multiLevelType w:val="multilevel"/>
    <w:tmpl w:val="4B88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547F7"/>
    <w:multiLevelType w:val="multilevel"/>
    <w:tmpl w:val="2BAE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766F4"/>
    <w:multiLevelType w:val="multilevel"/>
    <w:tmpl w:val="FCC84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06BA9"/>
    <w:multiLevelType w:val="multilevel"/>
    <w:tmpl w:val="084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00F8B"/>
    <w:multiLevelType w:val="multilevel"/>
    <w:tmpl w:val="D572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F3637"/>
    <w:multiLevelType w:val="multilevel"/>
    <w:tmpl w:val="406A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536727"/>
    <w:multiLevelType w:val="multilevel"/>
    <w:tmpl w:val="1D78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323C8C"/>
    <w:multiLevelType w:val="multilevel"/>
    <w:tmpl w:val="FAEA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25461"/>
    <w:multiLevelType w:val="multilevel"/>
    <w:tmpl w:val="9A40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93002D"/>
    <w:multiLevelType w:val="multilevel"/>
    <w:tmpl w:val="BAAA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0"/>
  </w:num>
  <w:num w:numId="4">
    <w:abstractNumId w:val="3"/>
  </w:num>
  <w:num w:numId="5">
    <w:abstractNumId w:val="17"/>
  </w:num>
  <w:num w:numId="6">
    <w:abstractNumId w:val="11"/>
  </w:num>
  <w:num w:numId="7">
    <w:abstractNumId w:val="13"/>
  </w:num>
  <w:num w:numId="8">
    <w:abstractNumId w:val="9"/>
  </w:num>
  <w:num w:numId="9">
    <w:abstractNumId w:val="8"/>
  </w:num>
  <w:num w:numId="10">
    <w:abstractNumId w:val="14"/>
  </w:num>
  <w:num w:numId="11">
    <w:abstractNumId w:val="5"/>
  </w:num>
  <w:num w:numId="12">
    <w:abstractNumId w:val="2"/>
  </w:num>
  <w:num w:numId="13">
    <w:abstractNumId w:val="16"/>
  </w:num>
  <w:num w:numId="14">
    <w:abstractNumId w:val="15"/>
  </w:num>
  <w:num w:numId="15">
    <w:abstractNumId w:val="0"/>
  </w:num>
  <w:num w:numId="16">
    <w:abstractNumId w:val="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4"/>
    <w:rsid w:val="00000BBE"/>
    <w:rsid w:val="00004ABE"/>
    <w:rsid w:val="00014D03"/>
    <w:rsid w:val="00025AB9"/>
    <w:rsid w:val="00045946"/>
    <w:rsid w:val="0004601C"/>
    <w:rsid w:val="00051604"/>
    <w:rsid w:val="000A19D8"/>
    <w:rsid w:val="001132EA"/>
    <w:rsid w:val="00115244"/>
    <w:rsid w:val="0017464D"/>
    <w:rsid w:val="001815D0"/>
    <w:rsid w:val="00197DC0"/>
    <w:rsid w:val="00210217"/>
    <w:rsid w:val="00222B43"/>
    <w:rsid w:val="00262F9B"/>
    <w:rsid w:val="002669DA"/>
    <w:rsid w:val="002A087D"/>
    <w:rsid w:val="002E3772"/>
    <w:rsid w:val="002F1A5B"/>
    <w:rsid w:val="002F5DDB"/>
    <w:rsid w:val="003042BC"/>
    <w:rsid w:val="00354057"/>
    <w:rsid w:val="003650BF"/>
    <w:rsid w:val="00366D0D"/>
    <w:rsid w:val="003761DC"/>
    <w:rsid w:val="00387FE8"/>
    <w:rsid w:val="003A0CF7"/>
    <w:rsid w:val="003C6534"/>
    <w:rsid w:val="003D7ECB"/>
    <w:rsid w:val="003E4143"/>
    <w:rsid w:val="00415609"/>
    <w:rsid w:val="00445D4E"/>
    <w:rsid w:val="0046092F"/>
    <w:rsid w:val="004619C1"/>
    <w:rsid w:val="00484D0B"/>
    <w:rsid w:val="004C685E"/>
    <w:rsid w:val="004E43A3"/>
    <w:rsid w:val="004F002D"/>
    <w:rsid w:val="00520E4D"/>
    <w:rsid w:val="00543A3B"/>
    <w:rsid w:val="005A1C24"/>
    <w:rsid w:val="005C6A95"/>
    <w:rsid w:val="005E42BE"/>
    <w:rsid w:val="005E6A2B"/>
    <w:rsid w:val="006023A6"/>
    <w:rsid w:val="00605204"/>
    <w:rsid w:val="00630BED"/>
    <w:rsid w:val="006355F0"/>
    <w:rsid w:val="006646DC"/>
    <w:rsid w:val="00672BCA"/>
    <w:rsid w:val="006A1796"/>
    <w:rsid w:val="006A24FD"/>
    <w:rsid w:val="00733E8A"/>
    <w:rsid w:val="007473FB"/>
    <w:rsid w:val="007566AE"/>
    <w:rsid w:val="00756CED"/>
    <w:rsid w:val="00773AA0"/>
    <w:rsid w:val="007A5E09"/>
    <w:rsid w:val="007B0A77"/>
    <w:rsid w:val="007B1312"/>
    <w:rsid w:val="007F4746"/>
    <w:rsid w:val="008125B0"/>
    <w:rsid w:val="00813CE7"/>
    <w:rsid w:val="00817C77"/>
    <w:rsid w:val="00854F72"/>
    <w:rsid w:val="008773C7"/>
    <w:rsid w:val="00881B14"/>
    <w:rsid w:val="00885552"/>
    <w:rsid w:val="00892AEF"/>
    <w:rsid w:val="0089489D"/>
    <w:rsid w:val="00916280"/>
    <w:rsid w:val="00925B1A"/>
    <w:rsid w:val="009347AE"/>
    <w:rsid w:val="00973FE4"/>
    <w:rsid w:val="00976836"/>
    <w:rsid w:val="009822F3"/>
    <w:rsid w:val="0099554E"/>
    <w:rsid w:val="009F3602"/>
    <w:rsid w:val="00A15556"/>
    <w:rsid w:val="00A16AFA"/>
    <w:rsid w:val="00A17647"/>
    <w:rsid w:val="00A21144"/>
    <w:rsid w:val="00A45497"/>
    <w:rsid w:val="00A757D6"/>
    <w:rsid w:val="00A76EC8"/>
    <w:rsid w:val="00A90B9A"/>
    <w:rsid w:val="00AD68E9"/>
    <w:rsid w:val="00AE4BF8"/>
    <w:rsid w:val="00B0106B"/>
    <w:rsid w:val="00B1155C"/>
    <w:rsid w:val="00B17CAD"/>
    <w:rsid w:val="00B402B7"/>
    <w:rsid w:val="00B57716"/>
    <w:rsid w:val="00B80118"/>
    <w:rsid w:val="00B87292"/>
    <w:rsid w:val="00B96A60"/>
    <w:rsid w:val="00BA1278"/>
    <w:rsid w:val="00BB34F1"/>
    <w:rsid w:val="00BF2399"/>
    <w:rsid w:val="00BF3A46"/>
    <w:rsid w:val="00BF7A98"/>
    <w:rsid w:val="00C14976"/>
    <w:rsid w:val="00C36BFE"/>
    <w:rsid w:val="00C510A9"/>
    <w:rsid w:val="00C964EC"/>
    <w:rsid w:val="00CB5028"/>
    <w:rsid w:val="00CD1DC3"/>
    <w:rsid w:val="00CF4306"/>
    <w:rsid w:val="00D01572"/>
    <w:rsid w:val="00D36926"/>
    <w:rsid w:val="00D41E64"/>
    <w:rsid w:val="00D44570"/>
    <w:rsid w:val="00D44B39"/>
    <w:rsid w:val="00D47892"/>
    <w:rsid w:val="00D555EC"/>
    <w:rsid w:val="00D7469F"/>
    <w:rsid w:val="00DB4FBC"/>
    <w:rsid w:val="00DC0DC4"/>
    <w:rsid w:val="00DC4831"/>
    <w:rsid w:val="00E331DC"/>
    <w:rsid w:val="00E34C76"/>
    <w:rsid w:val="00E47E1E"/>
    <w:rsid w:val="00E64618"/>
    <w:rsid w:val="00EA2EB5"/>
    <w:rsid w:val="00EA4D56"/>
    <w:rsid w:val="00EA53B4"/>
    <w:rsid w:val="00EC1666"/>
    <w:rsid w:val="00F00617"/>
    <w:rsid w:val="00F0715C"/>
    <w:rsid w:val="00F42C67"/>
    <w:rsid w:val="00F53E05"/>
    <w:rsid w:val="00F54540"/>
    <w:rsid w:val="00F851CE"/>
    <w:rsid w:val="00F91029"/>
    <w:rsid w:val="00F93775"/>
    <w:rsid w:val="00F94C50"/>
    <w:rsid w:val="00FF0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270D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7D6"/>
    <w:rPr>
      <w:rFonts w:ascii="Times New Roman" w:eastAsia="Times New Roman" w:hAnsi="Times New Roman" w:cs="Times New Roman"/>
    </w:rPr>
  </w:style>
  <w:style w:type="paragraph" w:styleId="Heading1">
    <w:name w:val="heading 1"/>
    <w:basedOn w:val="Normal"/>
    <w:link w:val="Heading1Char"/>
    <w:uiPriority w:val="9"/>
    <w:qFormat/>
    <w:rsid w:val="00D4789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D7469F"/>
    <w:pPr>
      <w:shd w:val="clear" w:color="auto" w:fill="FFFFFF"/>
      <w:spacing w:line="480" w:lineRule="auto"/>
      <w:outlineLvl w:val="1"/>
    </w:pPr>
    <w:rPr>
      <w:rFonts w:ascii="Garamond" w:hAnsi="Garamond"/>
      <w:b/>
      <w:bCs/>
      <w:color w:val="2222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3B4"/>
    <w:rPr>
      <w:color w:val="0563C1" w:themeColor="hyperlink"/>
      <w:u w:val="single"/>
    </w:rPr>
  </w:style>
  <w:style w:type="character" w:customStyle="1" w:styleId="UnresolvedMention1">
    <w:name w:val="Unresolved Mention1"/>
    <w:basedOn w:val="DefaultParagraphFont"/>
    <w:uiPriority w:val="99"/>
    <w:semiHidden/>
    <w:unhideWhenUsed/>
    <w:rsid w:val="00EA53B4"/>
    <w:rPr>
      <w:color w:val="605E5C"/>
      <w:shd w:val="clear" w:color="auto" w:fill="E1DFDD"/>
    </w:rPr>
  </w:style>
  <w:style w:type="paragraph" w:styleId="ListParagraph">
    <w:name w:val="List Paragraph"/>
    <w:basedOn w:val="Normal"/>
    <w:uiPriority w:val="34"/>
    <w:qFormat/>
    <w:rsid w:val="00EA53B4"/>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unhideWhenUsed/>
    <w:rsid w:val="00D41E64"/>
    <w:rPr>
      <w:rFonts w:asciiTheme="minorHAnsi" w:eastAsiaTheme="minorEastAsia" w:hAnsiTheme="minorHAnsi" w:cstheme="minorBidi"/>
      <w:lang w:val="en-GB"/>
    </w:rPr>
  </w:style>
  <w:style w:type="character" w:customStyle="1" w:styleId="FootnoteTextChar">
    <w:name w:val="Footnote Text Char"/>
    <w:basedOn w:val="DefaultParagraphFont"/>
    <w:link w:val="FootnoteText"/>
    <w:uiPriority w:val="99"/>
    <w:rsid w:val="00D41E64"/>
    <w:rPr>
      <w:rFonts w:eastAsiaTheme="minorEastAsia"/>
      <w:lang w:val="en-GB"/>
    </w:rPr>
  </w:style>
  <w:style w:type="character" w:styleId="FootnoteReference">
    <w:name w:val="footnote reference"/>
    <w:aliases w:val="4_G Char1,16 Point Char,Superscript 6 Point Char,ftref Char1,4_G Char Char Char,Footnote Reference1 Char Char Char,Footnotes refss Char Char Char,ftref Char Char Char,BVI fnr Char Char Char,BVI fnr Car Car Char Char Char"/>
    <w:basedOn w:val="DefaultParagraphFont"/>
    <w:link w:val="4G"/>
    <w:uiPriority w:val="99"/>
    <w:unhideWhenUsed/>
    <w:rsid w:val="00D41E64"/>
    <w:rPr>
      <w:vertAlign w:val="superscript"/>
    </w:rPr>
  </w:style>
  <w:style w:type="paragraph" w:customStyle="1" w:styleId="4G">
    <w:name w:val="4_G"/>
    <w:aliases w:val="16 Point,Superscript 6 Point,ftref,4_G Char Char,Footnote Reference1 Char Char,Footnotes refss Char Char,ftref Char Char,BVI fnr Char Char,BVI fnr Car Car Char Char,BVI fnr Car Char Char,BVI fnr Car Car Car Car Char Char1"/>
    <w:basedOn w:val="Normal"/>
    <w:link w:val="FootnoteReference"/>
    <w:uiPriority w:val="99"/>
    <w:rsid w:val="00D41E64"/>
    <w:pPr>
      <w:spacing w:after="160" w:line="240" w:lineRule="exact"/>
      <w:jc w:val="both"/>
    </w:pPr>
    <w:rPr>
      <w:rFonts w:asciiTheme="minorHAnsi" w:eastAsiaTheme="minorHAnsi" w:hAnsiTheme="minorHAnsi" w:cstheme="minorBidi"/>
      <w:vertAlign w:val="superscript"/>
    </w:rPr>
  </w:style>
  <w:style w:type="character" w:styleId="CommentReference">
    <w:name w:val="annotation reference"/>
    <w:basedOn w:val="DefaultParagraphFont"/>
    <w:uiPriority w:val="99"/>
    <w:semiHidden/>
    <w:unhideWhenUsed/>
    <w:rsid w:val="00D41E64"/>
    <w:rPr>
      <w:sz w:val="18"/>
      <w:szCs w:val="18"/>
    </w:rPr>
  </w:style>
  <w:style w:type="paragraph" w:styleId="CommentText">
    <w:name w:val="annotation text"/>
    <w:basedOn w:val="Normal"/>
    <w:link w:val="CommentTextChar"/>
    <w:uiPriority w:val="99"/>
    <w:unhideWhenUsed/>
    <w:rsid w:val="00D41E64"/>
    <w:rPr>
      <w:rFonts w:asciiTheme="minorHAnsi" w:eastAsiaTheme="minorEastAsia" w:hAnsiTheme="minorHAnsi" w:cstheme="minorBidi"/>
      <w:lang w:val="en-GB"/>
    </w:rPr>
  </w:style>
  <w:style w:type="character" w:customStyle="1" w:styleId="CommentTextChar">
    <w:name w:val="Comment Text Char"/>
    <w:basedOn w:val="DefaultParagraphFont"/>
    <w:link w:val="CommentText"/>
    <w:uiPriority w:val="99"/>
    <w:rsid w:val="00D41E64"/>
    <w:rPr>
      <w:rFonts w:eastAsiaTheme="minorEastAsia"/>
      <w:lang w:val="en-GB"/>
    </w:rPr>
  </w:style>
  <w:style w:type="paragraph" w:styleId="BalloonText">
    <w:name w:val="Balloon Text"/>
    <w:basedOn w:val="Normal"/>
    <w:link w:val="BalloonTextChar"/>
    <w:uiPriority w:val="99"/>
    <w:semiHidden/>
    <w:unhideWhenUsed/>
    <w:rsid w:val="00D41E64"/>
    <w:rPr>
      <w:rFonts w:eastAsiaTheme="minorHAnsi"/>
      <w:sz w:val="18"/>
      <w:szCs w:val="18"/>
    </w:rPr>
  </w:style>
  <w:style w:type="character" w:customStyle="1" w:styleId="BalloonTextChar">
    <w:name w:val="Balloon Text Char"/>
    <w:basedOn w:val="DefaultParagraphFont"/>
    <w:link w:val="BalloonText"/>
    <w:uiPriority w:val="99"/>
    <w:semiHidden/>
    <w:rsid w:val="00D41E64"/>
    <w:rPr>
      <w:rFonts w:ascii="Times New Roman" w:hAnsi="Times New Roman" w:cs="Times New Roman"/>
      <w:sz w:val="18"/>
      <w:szCs w:val="18"/>
    </w:rPr>
  </w:style>
  <w:style w:type="paragraph" w:styleId="Header">
    <w:name w:val="header"/>
    <w:basedOn w:val="Normal"/>
    <w:link w:val="HeaderChar"/>
    <w:uiPriority w:val="99"/>
    <w:unhideWhenUsed/>
    <w:rsid w:val="00E47E1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47E1E"/>
  </w:style>
  <w:style w:type="paragraph" w:styleId="Footer">
    <w:name w:val="footer"/>
    <w:basedOn w:val="Normal"/>
    <w:link w:val="FooterChar"/>
    <w:uiPriority w:val="99"/>
    <w:unhideWhenUsed/>
    <w:rsid w:val="00E47E1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47E1E"/>
  </w:style>
  <w:style w:type="character" w:styleId="PageNumber">
    <w:name w:val="page number"/>
    <w:basedOn w:val="DefaultParagraphFont"/>
    <w:uiPriority w:val="99"/>
    <w:semiHidden/>
    <w:unhideWhenUsed/>
    <w:rsid w:val="004F002D"/>
  </w:style>
  <w:style w:type="paragraph" w:styleId="NormalWeb">
    <w:name w:val="Normal (Web)"/>
    <w:basedOn w:val="Normal"/>
    <w:uiPriority w:val="99"/>
    <w:semiHidden/>
    <w:unhideWhenUsed/>
    <w:rsid w:val="00D44570"/>
    <w:rPr>
      <w:rFonts w:eastAsiaTheme="minorHAnsi"/>
    </w:rPr>
  </w:style>
  <w:style w:type="character" w:customStyle="1" w:styleId="Heading1Char">
    <w:name w:val="Heading 1 Char"/>
    <w:basedOn w:val="DefaultParagraphFont"/>
    <w:link w:val="Heading1"/>
    <w:uiPriority w:val="9"/>
    <w:rsid w:val="00D47892"/>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D47892"/>
    <w:rPr>
      <w:color w:val="605E5C"/>
      <w:shd w:val="clear" w:color="auto" w:fill="E1DFDD"/>
    </w:rPr>
  </w:style>
  <w:style w:type="character" w:styleId="FollowedHyperlink">
    <w:name w:val="FollowedHyperlink"/>
    <w:basedOn w:val="DefaultParagraphFont"/>
    <w:uiPriority w:val="99"/>
    <w:semiHidden/>
    <w:unhideWhenUsed/>
    <w:rsid w:val="00D47892"/>
    <w:rPr>
      <w:color w:val="954F72" w:themeColor="followedHyperlink"/>
      <w:u w:val="single"/>
    </w:rPr>
  </w:style>
  <w:style w:type="character" w:customStyle="1" w:styleId="Heading2Char">
    <w:name w:val="Heading 2 Char"/>
    <w:basedOn w:val="DefaultParagraphFont"/>
    <w:link w:val="Heading2"/>
    <w:uiPriority w:val="9"/>
    <w:rsid w:val="00D7469F"/>
    <w:rPr>
      <w:rFonts w:ascii="Garamond" w:eastAsia="Times New Roman" w:hAnsi="Garamond" w:cs="Times New Roman"/>
      <w:b/>
      <w:bCs/>
      <w:color w:val="2222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32561">
      <w:bodyDiv w:val="1"/>
      <w:marLeft w:val="0"/>
      <w:marRight w:val="0"/>
      <w:marTop w:val="0"/>
      <w:marBottom w:val="0"/>
      <w:divBdr>
        <w:top w:val="none" w:sz="0" w:space="0" w:color="auto"/>
        <w:left w:val="none" w:sz="0" w:space="0" w:color="auto"/>
        <w:bottom w:val="none" w:sz="0" w:space="0" w:color="auto"/>
        <w:right w:val="none" w:sz="0" w:space="0" w:color="auto"/>
      </w:divBdr>
      <w:divsChild>
        <w:div w:id="1351838085">
          <w:marLeft w:val="0"/>
          <w:marRight w:val="0"/>
          <w:marTop w:val="0"/>
          <w:marBottom w:val="0"/>
          <w:divBdr>
            <w:top w:val="none" w:sz="0" w:space="0" w:color="auto"/>
            <w:left w:val="none" w:sz="0" w:space="0" w:color="auto"/>
            <w:bottom w:val="none" w:sz="0" w:space="0" w:color="auto"/>
            <w:right w:val="none" w:sz="0" w:space="0" w:color="auto"/>
          </w:divBdr>
        </w:div>
        <w:div w:id="1195390800">
          <w:marLeft w:val="0"/>
          <w:marRight w:val="0"/>
          <w:marTop w:val="0"/>
          <w:marBottom w:val="0"/>
          <w:divBdr>
            <w:top w:val="none" w:sz="0" w:space="0" w:color="auto"/>
            <w:left w:val="none" w:sz="0" w:space="0" w:color="auto"/>
            <w:bottom w:val="none" w:sz="0" w:space="0" w:color="auto"/>
            <w:right w:val="none" w:sz="0" w:space="0" w:color="auto"/>
          </w:divBdr>
        </w:div>
      </w:divsChild>
    </w:div>
    <w:div w:id="338696094">
      <w:bodyDiv w:val="1"/>
      <w:marLeft w:val="0"/>
      <w:marRight w:val="0"/>
      <w:marTop w:val="0"/>
      <w:marBottom w:val="0"/>
      <w:divBdr>
        <w:top w:val="none" w:sz="0" w:space="0" w:color="auto"/>
        <w:left w:val="none" w:sz="0" w:space="0" w:color="auto"/>
        <w:bottom w:val="none" w:sz="0" w:space="0" w:color="auto"/>
        <w:right w:val="none" w:sz="0" w:space="0" w:color="auto"/>
      </w:divBdr>
    </w:div>
    <w:div w:id="1202941177">
      <w:bodyDiv w:val="1"/>
      <w:marLeft w:val="0"/>
      <w:marRight w:val="0"/>
      <w:marTop w:val="0"/>
      <w:marBottom w:val="0"/>
      <w:divBdr>
        <w:top w:val="none" w:sz="0" w:space="0" w:color="auto"/>
        <w:left w:val="none" w:sz="0" w:space="0" w:color="auto"/>
        <w:bottom w:val="none" w:sz="0" w:space="0" w:color="auto"/>
        <w:right w:val="none" w:sz="0" w:space="0" w:color="auto"/>
      </w:divBdr>
    </w:div>
    <w:div w:id="1430657917">
      <w:bodyDiv w:val="1"/>
      <w:marLeft w:val="0"/>
      <w:marRight w:val="0"/>
      <w:marTop w:val="0"/>
      <w:marBottom w:val="0"/>
      <w:divBdr>
        <w:top w:val="none" w:sz="0" w:space="0" w:color="auto"/>
        <w:left w:val="none" w:sz="0" w:space="0" w:color="auto"/>
        <w:bottom w:val="none" w:sz="0" w:space="0" w:color="auto"/>
        <w:right w:val="none" w:sz="0" w:space="0" w:color="auto"/>
      </w:divBdr>
    </w:div>
    <w:div w:id="1561403514">
      <w:bodyDiv w:val="1"/>
      <w:marLeft w:val="0"/>
      <w:marRight w:val="0"/>
      <w:marTop w:val="0"/>
      <w:marBottom w:val="0"/>
      <w:divBdr>
        <w:top w:val="none" w:sz="0" w:space="0" w:color="auto"/>
        <w:left w:val="none" w:sz="0" w:space="0" w:color="auto"/>
        <w:bottom w:val="none" w:sz="0" w:space="0" w:color="auto"/>
        <w:right w:val="none" w:sz="0" w:space="0" w:color="auto"/>
      </w:divBdr>
    </w:div>
    <w:div w:id="1609702100">
      <w:bodyDiv w:val="1"/>
      <w:marLeft w:val="0"/>
      <w:marRight w:val="0"/>
      <w:marTop w:val="0"/>
      <w:marBottom w:val="0"/>
      <w:divBdr>
        <w:top w:val="none" w:sz="0" w:space="0" w:color="auto"/>
        <w:left w:val="none" w:sz="0" w:space="0" w:color="auto"/>
        <w:bottom w:val="none" w:sz="0" w:space="0" w:color="auto"/>
        <w:right w:val="none" w:sz="0" w:space="0" w:color="auto"/>
      </w:divBdr>
    </w:div>
    <w:div w:id="1879200887">
      <w:bodyDiv w:val="1"/>
      <w:marLeft w:val="0"/>
      <w:marRight w:val="0"/>
      <w:marTop w:val="0"/>
      <w:marBottom w:val="0"/>
      <w:divBdr>
        <w:top w:val="none" w:sz="0" w:space="0" w:color="auto"/>
        <w:left w:val="none" w:sz="0" w:space="0" w:color="auto"/>
        <w:bottom w:val="none" w:sz="0" w:space="0" w:color="auto"/>
        <w:right w:val="none" w:sz="0" w:space="0" w:color="auto"/>
      </w:divBdr>
    </w:div>
    <w:div w:id="2037465773">
      <w:bodyDiv w:val="1"/>
      <w:marLeft w:val="0"/>
      <w:marRight w:val="0"/>
      <w:marTop w:val="0"/>
      <w:marBottom w:val="0"/>
      <w:divBdr>
        <w:top w:val="none" w:sz="0" w:space="0" w:color="auto"/>
        <w:left w:val="none" w:sz="0" w:space="0" w:color="auto"/>
        <w:bottom w:val="none" w:sz="0" w:space="0" w:color="auto"/>
        <w:right w:val="none" w:sz="0" w:space="0" w:color="auto"/>
      </w:divBdr>
      <w:divsChild>
        <w:div w:id="1243639826">
          <w:marLeft w:val="0"/>
          <w:marRight w:val="0"/>
          <w:marTop w:val="0"/>
          <w:marBottom w:val="0"/>
          <w:divBdr>
            <w:top w:val="none" w:sz="0" w:space="0" w:color="auto"/>
            <w:left w:val="none" w:sz="0" w:space="0" w:color="auto"/>
            <w:bottom w:val="none" w:sz="0" w:space="0" w:color="auto"/>
            <w:right w:val="none" w:sz="0" w:space="0" w:color="auto"/>
          </w:divBdr>
          <w:divsChild>
            <w:div w:id="116222040">
              <w:marLeft w:val="0"/>
              <w:marRight w:val="0"/>
              <w:marTop w:val="0"/>
              <w:marBottom w:val="0"/>
              <w:divBdr>
                <w:top w:val="none" w:sz="0" w:space="0" w:color="auto"/>
                <w:left w:val="none" w:sz="0" w:space="0" w:color="auto"/>
                <w:bottom w:val="none" w:sz="0" w:space="0" w:color="auto"/>
                <w:right w:val="none" w:sz="0" w:space="0" w:color="auto"/>
              </w:divBdr>
            </w:div>
            <w:div w:id="204946265">
              <w:marLeft w:val="0"/>
              <w:marRight w:val="0"/>
              <w:marTop w:val="0"/>
              <w:marBottom w:val="0"/>
              <w:divBdr>
                <w:top w:val="none" w:sz="0" w:space="0" w:color="auto"/>
                <w:left w:val="none" w:sz="0" w:space="0" w:color="auto"/>
                <w:bottom w:val="none" w:sz="0" w:space="0" w:color="auto"/>
                <w:right w:val="none" w:sz="0" w:space="0" w:color="auto"/>
              </w:divBdr>
            </w:div>
            <w:div w:id="1630936330">
              <w:marLeft w:val="0"/>
              <w:marRight w:val="0"/>
              <w:marTop w:val="0"/>
              <w:marBottom w:val="0"/>
              <w:divBdr>
                <w:top w:val="none" w:sz="0" w:space="0" w:color="auto"/>
                <w:left w:val="none" w:sz="0" w:space="0" w:color="auto"/>
                <w:bottom w:val="none" w:sz="0" w:space="0" w:color="auto"/>
                <w:right w:val="none" w:sz="0" w:space="0" w:color="auto"/>
              </w:divBdr>
            </w:div>
            <w:div w:id="497773907">
              <w:marLeft w:val="0"/>
              <w:marRight w:val="0"/>
              <w:marTop w:val="0"/>
              <w:marBottom w:val="0"/>
              <w:divBdr>
                <w:top w:val="none" w:sz="0" w:space="0" w:color="auto"/>
                <w:left w:val="none" w:sz="0" w:space="0" w:color="auto"/>
                <w:bottom w:val="none" w:sz="0" w:space="0" w:color="auto"/>
                <w:right w:val="none" w:sz="0" w:space="0" w:color="auto"/>
              </w:divBdr>
            </w:div>
            <w:div w:id="957563738">
              <w:marLeft w:val="0"/>
              <w:marRight w:val="0"/>
              <w:marTop w:val="0"/>
              <w:marBottom w:val="0"/>
              <w:divBdr>
                <w:top w:val="none" w:sz="0" w:space="0" w:color="auto"/>
                <w:left w:val="none" w:sz="0" w:space="0" w:color="auto"/>
                <w:bottom w:val="none" w:sz="0" w:space="0" w:color="auto"/>
                <w:right w:val="none" w:sz="0" w:space="0" w:color="auto"/>
              </w:divBdr>
            </w:div>
            <w:div w:id="821963917">
              <w:marLeft w:val="0"/>
              <w:marRight w:val="0"/>
              <w:marTop w:val="0"/>
              <w:marBottom w:val="0"/>
              <w:divBdr>
                <w:top w:val="none" w:sz="0" w:space="0" w:color="auto"/>
                <w:left w:val="none" w:sz="0" w:space="0" w:color="auto"/>
                <w:bottom w:val="none" w:sz="0" w:space="0" w:color="auto"/>
                <w:right w:val="none" w:sz="0" w:space="0" w:color="auto"/>
              </w:divBdr>
            </w:div>
            <w:div w:id="563951307">
              <w:marLeft w:val="0"/>
              <w:marRight w:val="0"/>
              <w:marTop w:val="0"/>
              <w:marBottom w:val="0"/>
              <w:divBdr>
                <w:top w:val="none" w:sz="0" w:space="0" w:color="auto"/>
                <w:left w:val="none" w:sz="0" w:space="0" w:color="auto"/>
                <w:bottom w:val="none" w:sz="0" w:space="0" w:color="auto"/>
                <w:right w:val="none" w:sz="0" w:space="0" w:color="auto"/>
              </w:divBdr>
            </w:div>
            <w:div w:id="485509330">
              <w:marLeft w:val="0"/>
              <w:marRight w:val="0"/>
              <w:marTop w:val="0"/>
              <w:marBottom w:val="0"/>
              <w:divBdr>
                <w:top w:val="none" w:sz="0" w:space="0" w:color="auto"/>
                <w:left w:val="none" w:sz="0" w:space="0" w:color="auto"/>
                <w:bottom w:val="none" w:sz="0" w:space="0" w:color="auto"/>
                <w:right w:val="none" w:sz="0" w:space="0" w:color="auto"/>
              </w:divBdr>
            </w:div>
            <w:div w:id="1213888164">
              <w:marLeft w:val="0"/>
              <w:marRight w:val="0"/>
              <w:marTop w:val="0"/>
              <w:marBottom w:val="0"/>
              <w:divBdr>
                <w:top w:val="none" w:sz="0" w:space="0" w:color="auto"/>
                <w:left w:val="none" w:sz="0" w:space="0" w:color="auto"/>
                <w:bottom w:val="none" w:sz="0" w:space="0" w:color="auto"/>
                <w:right w:val="none" w:sz="0" w:space="0" w:color="auto"/>
              </w:divBdr>
            </w:div>
            <w:div w:id="277956657">
              <w:marLeft w:val="0"/>
              <w:marRight w:val="0"/>
              <w:marTop w:val="0"/>
              <w:marBottom w:val="0"/>
              <w:divBdr>
                <w:top w:val="none" w:sz="0" w:space="0" w:color="auto"/>
                <w:left w:val="none" w:sz="0" w:space="0" w:color="auto"/>
                <w:bottom w:val="none" w:sz="0" w:space="0" w:color="auto"/>
                <w:right w:val="none" w:sz="0" w:space="0" w:color="auto"/>
              </w:divBdr>
            </w:div>
            <w:div w:id="1052852017">
              <w:marLeft w:val="0"/>
              <w:marRight w:val="0"/>
              <w:marTop w:val="0"/>
              <w:marBottom w:val="0"/>
              <w:divBdr>
                <w:top w:val="none" w:sz="0" w:space="0" w:color="auto"/>
                <w:left w:val="none" w:sz="0" w:space="0" w:color="auto"/>
                <w:bottom w:val="none" w:sz="0" w:space="0" w:color="auto"/>
                <w:right w:val="none" w:sz="0" w:space="0" w:color="auto"/>
              </w:divBdr>
            </w:div>
            <w:div w:id="1156190729">
              <w:marLeft w:val="0"/>
              <w:marRight w:val="0"/>
              <w:marTop w:val="0"/>
              <w:marBottom w:val="0"/>
              <w:divBdr>
                <w:top w:val="none" w:sz="0" w:space="0" w:color="auto"/>
                <w:left w:val="none" w:sz="0" w:space="0" w:color="auto"/>
                <w:bottom w:val="none" w:sz="0" w:space="0" w:color="auto"/>
                <w:right w:val="none" w:sz="0" w:space="0" w:color="auto"/>
              </w:divBdr>
            </w:div>
            <w:div w:id="1897277142">
              <w:marLeft w:val="0"/>
              <w:marRight w:val="0"/>
              <w:marTop w:val="0"/>
              <w:marBottom w:val="0"/>
              <w:divBdr>
                <w:top w:val="none" w:sz="0" w:space="0" w:color="auto"/>
                <w:left w:val="none" w:sz="0" w:space="0" w:color="auto"/>
                <w:bottom w:val="none" w:sz="0" w:space="0" w:color="auto"/>
                <w:right w:val="none" w:sz="0" w:space="0" w:color="auto"/>
              </w:divBdr>
            </w:div>
            <w:div w:id="1726951307">
              <w:marLeft w:val="0"/>
              <w:marRight w:val="0"/>
              <w:marTop w:val="0"/>
              <w:marBottom w:val="0"/>
              <w:divBdr>
                <w:top w:val="none" w:sz="0" w:space="0" w:color="auto"/>
                <w:left w:val="none" w:sz="0" w:space="0" w:color="auto"/>
                <w:bottom w:val="none" w:sz="0" w:space="0" w:color="auto"/>
                <w:right w:val="none" w:sz="0" w:space="0" w:color="auto"/>
              </w:divBdr>
              <w:divsChild>
                <w:div w:id="268195745">
                  <w:marLeft w:val="0"/>
                  <w:marRight w:val="0"/>
                  <w:marTop w:val="0"/>
                  <w:marBottom w:val="0"/>
                  <w:divBdr>
                    <w:top w:val="none" w:sz="0" w:space="0" w:color="auto"/>
                    <w:left w:val="none" w:sz="0" w:space="0" w:color="auto"/>
                    <w:bottom w:val="none" w:sz="0" w:space="0" w:color="auto"/>
                    <w:right w:val="none" w:sz="0" w:space="0" w:color="auto"/>
                  </w:divBdr>
                </w:div>
                <w:div w:id="214005164">
                  <w:marLeft w:val="0"/>
                  <w:marRight w:val="0"/>
                  <w:marTop w:val="0"/>
                  <w:marBottom w:val="0"/>
                  <w:divBdr>
                    <w:top w:val="none" w:sz="0" w:space="0" w:color="auto"/>
                    <w:left w:val="none" w:sz="0" w:space="0" w:color="auto"/>
                    <w:bottom w:val="none" w:sz="0" w:space="0" w:color="auto"/>
                    <w:right w:val="none" w:sz="0" w:space="0" w:color="auto"/>
                  </w:divBdr>
                </w:div>
              </w:divsChild>
            </w:div>
            <w:div w:id="108743267">
              <w:marLeft w:val="0"/>
              <w:marRight w:val="0"/>
              <w:marTop w:val="0"/>
              <w:marBottom w:val="0"/>
              <w:divBdr>
                <w:top w:val="none" w:sz="0" w:space="0" w:color="auto"/>
                <w:left w:val="none" w:sz="0" w:space="0" w:color="auto"/>
                <w:bottom w:val="none" w:sz="0" w:space="0" w:color="auto"/>
                <w:right w:val="none" w:sz="0" w:space="0" w:color="auto"/>
              </w:divBdr>
            </w:div>
            <w:div w:id="1277761320">
              <w:marLeft w:val="0"/>
              <w:marRight w:val="0"/>
              <w:marTop w:val="0"/>
              <w:marBottom w:val="0"/>
              <w:divBdr>
                <w:top w:val="none" w:sz="0" w:space="0" w:color="auto"/>
                <w:left w:val="none" w:sz="0" w:space="0" w:color="auto"/>
                <w:bottom w:val="none" w:sz="0" w:space="0" w:color="auto"/>
                <w:right w:val="none" w:sz="0" w:space="0" w:color="auto"/>
              </w:divBdr>
            </w:div>
            <w:div w:id="704986886">
              <w:marLeft w:val="0"/>
              <w:marRight w:val="0"/>
              <w:marTop w:val="0"/>
              <w:marBottom w:val="0"/>
              <w:divBdr>
                <w:top w:val="none" w:sz="0" w:space="0" w:color="auto"/>
                <w:left w:val="none" w:sz="0" w:space="0" w:color="auto"/>
                <w:bottom w:val="none" w:sz="0" w:space="0" w:color="auto"/>
                <w:right w:val="none" w:sz="0" w:space="0" w:color="auto"/>
              </w:divBdr>
            </w:div>
            <w:div w:id="1682661756">
              <w:marLeft w:val="0"/>
              <w:marRight w:val="0"/>
              <w:marTop w:val="0"/>
              <w:marBottom w:val="0"/>
              <w:divBdr>
                <w:top w:val="none" w:sz="0" w:space="0" w:color="auto"/>
                <w:left w:val="none" w:sz="0" w:space="0" w:color="auto"/>
                <w:bottom w:val="none" w:sz="0" w:space="0" w:color="auto"/>
                <w:right w:val="none" w:sz="0" w:space="0" w:color="auto"/>
              </w:divBdr>
            </w:div>
            <w:div w:id="1753119541">
              <w:marLeft w:val="0"/>
              <w:marRight w:val="0"/>
              <w:marTop w:val="0"/>
              <w:marBottom w:val="0"/>
              <w:divBdr>
                <w:top w:val="none" w:sz="0" w:space="0" w:color="auto"/>
                <w:left w:val="none" w:sz="0" w:space="0" w:color="auto"/>
                <w:bottom w:val="none" w:sz="0" w:space="0" w:color="auto"/>
                <w:right w:val="none" w:sz="0" w:space="0" w:color="auto"/>
              </w:divBdr>
            </w:div>
            <w:div w:id="1310014349">
              <w:marLeft w:val="0"/>
              <w:marRight w:val="0"/>
              <w:marTop w:val="0"/>
              <w:marBottom w:val="0"/>
              <w:divBdr>
                <w:top w:val="none" w:sz="0" w:space="0" w:color="auto"/>
                <w:left w:val="none" w:sz="0" w:space="0" w:color="auto"/>
                <w:bottom w:val="none" w:sz="0" w:space="0" w:color="auto"/>
                <w:right w:val="none" w:sz="0" w:space="0" w:color="auto"/>
              </w:divBdr>
            </w:div>
            <w:div w:id="2011129818">
              <w:marLeft w:val="0"/>
              <w:marRight w:val="0"/>
              <w:marTop w:val="0"/>
              <w:marBottom w:val="0"/>
              <w:divBdr>
                <w:top w:val="none" w:sz="0" w:space="0" w:color="auto"/>
                <w:left w:val="none" w:sz="0" w:space="0" w:color="auto"/>
                <w:bottom w:val="none" w:sz="0" w:space="0" w:color="auto"/>
                <w:right w:val="none" w:sz="0" w:space="0" w:color="auto"/>
              </w:divBdr>
              <w:divsChild>
                <w:div w:id="103890910">
                  <w:marLeft w:val="0"/>
                  <w:marRight w:val="0"/>
                  <w:marTop w:val="0"/>
                  <w:marBottom w:val="0"/>
                  <w:divBdr>
                    <w:top w:val="none" w:sz="0" w:space="0" w:color="auto"/>
                    <w:left w:val="none" w:sz="0" w:space="0" w:color="auto"/>
                    <w:bottom w:val="none" w:sz="0" w:space="0" w:color="auto"/>
                    <w:right w:val="none" w:sz="0" w:space="0" w:color="auto"/>
                  </w:divBdr>
                  <w:divsChild>
                    <w:div w:id="833422063">
                      <w:marLeft w:val="0"/>
                      <w:marRight w:val="0"/>
                      <w:marTop w:val="0"/>
                      <w:marBottom w:val="0"/>
                      <w:divBdr>
                        <w:top w:val="none" w:sz="0" w:space="0" w:color="auto"/>
                        <w:left w:val="none" w:sz="0" w:space="0" w:color="auto"/>
                        <w:bottom w:val="none" w:sz="0" w:space="0" w:color="auto"/>
                        <w:right w:val="none" w:sz="0" w:space="0" w:color="auto"/>
                      </w:divBdr>
                    </w:div>
                  </w:divsChild>
                </w:div>
                <w:div w:id="807237424">
                  <w:marLeft w:val="0"/>
                  <w:marRight w:val="0"/>
                  <w:marTop w:val="0"/>
                  <w:marBottom w:val="0"/>
                  <w:divBdr>
                    <w:top w:val="none" w:sz="0" w:space="0" w:color="auto"/>
                    <w:left w:val="none" w:sz="0" w:space="0" w:color="auto"/>
                    <w:bottom w:val="none" w:sz="0" w:space="0" w:color="auto"/>
                    <w:right w:val="none" w:sz="0" w:space="0" w:color="auto"/>
                  </w:divBdr>
                </w:div>
                <w:div w:id="628976797">
                  <w:marLeft w:val="0"/>
                  <w:marRight w:val="0"/>
                  <w:marTop w:val="0"/>
                  <w:marBottom w:val="0"/>
                  <w:divBdr>
                    <w:top w:val="none" w:sz="0" w:space="0" w:color="auto"/>
                    <w:left w:val="none" w:sz="0" w:space="0" w:color="auto"/>
                    <w:bottom w:val="none" w:sz="0" w:space="0" w:color="auto"/>
                    <w:right w:val="none" w:sz="0" w:space="0" w:color="auto"/>
                  </w:divBdr>
                </w:div>
              </w:divsChild>
            </w:div>
            <w:div w:id="1275481634">
              <w:marLeft w:val="0"/>
              <w:marRight w:val="0"/>
              <w:marTop w:val="0"/>
              <w:marBottom w:val="0"/>
              <w:divBdr>
                <w:top w:val="none" w:sz="0" w:space="0" w:color="auto"/>
                <w:left w:val="none" w:sz="0" w:space="0" w:color="auto"/>
                <w:bottom w:val="none" w:sz="0" w:space="0" w:color="auto"/>
                <w:right w:val="none" w:sz="0" w:space="0" w:color="auto"/>
              </w:divBdr>
            </w:div>
            <w:div w:id="1600917053">
              <w:marLeft w:val="0"/>
              <w:marRight w:val="0"/>
              <w:marTop w:val="0"/>
              <w:marBottom w:val="0"/>
              <w:divBdr>
                <w:top w:val="none" w:sz="0" w:space="0" w:color="auto"/>
                <w:left w:val="none" w:sz="0" w:space="0" w:color="auto"/>
                <w:bottom w:val="none" w:sz="0" w:space="0" w:color="auto"/>
                <w:right w:val="none" w:sz="0" w:space="0" w:color="auto"/>
              </w:divBdr>
            </w:div>
            <w:div w:id="1469125506">
              <w:marLeft w:val="0"/>
              <w:marRight w:val="0"/>
              <w:marTop w:val="0"/>
              <w:marBottom w:val="0"/>
              <w:divBdr>
                <w:top w:val="none" w:sz="0" w:space="0" w:color="auto"/>
                <w:left w:val="none" w:sz="0" w:space="0" w:color="auto"/>
                <w:bottom w:val="none" w:sz="0" w:space="0" w:color="auto"/>
                <w:right w:val="none" w:sz="0" w:space="0" w:color="auto"/>
              </w:divBdr>
            </w:div>
            <w:div w:id="49496829">
              <w:marLeft w:val="0"/>
              <w:marRight w:val="0"/>
              <w:marTop w:val="0"/>
              <w:marBottom w:val="0"/>
              <w:divBdr>
                <w:top w:val="none" w:sz="0" w:space="0" w:color="auto"/>
                <w:left w:val="none" w:sz="0" w:space="0" w:color="auto"/>
                <w:bottom w:val="none" w:sz="0" w:space="0" w:color="auto"/>
                <w:right w:val="none" w:sz="0" w:space="0" w:color="auto"/>
              </w:divBdr>
            </w:div>
            <w:div w:id="1996714175">
              <w:marLeft w:val="0"/>
              <w:marRight w:val="0"/>
              <w:marTop w:val="0"/>
              <w:marBottom w:val="0"/>
              <w:divBdr>
                <w:top w:val="none" w:sz="0" w:space="0" w:color="auto"/>
                <w:left w:val="none" w:sz="0" w:space="0" w:color="auto"/>
                <w:bottom w:val="none" w:sz="0" w:space="0" w:color="auto"/>
                <w:right w:val="none" w:sz="0" w:space="0" w:color="auto"/>
              </w:divBdr>
              <w:divsChild>
                <w:div w:id="1533416929">
                  <w:marLeft w:val="0"/>
                  <w:marRight w:val="0"/>
                  <w:marTop w:val="0"/>
                  <w:marBottom w:val="0"/>
                  <w:divBdr>
                    <w:top w:val="none" w:sz="0" w:space="0" w:color="auto"/>
                    <w:left w:val="none" w:sz="0" w:space="0" w:color="auto"/>
                    <w:bottom w:val="none" w:sz="0" w:space="0" w:color="auto"/>
                    <w:right w:val="none" w:sz="0" w:space="0" w:color="auto"/>
                  </w:divBdr>
                </w:div>
              </w:divsChild>
            </w:div>
            <w:div w:id="1096681338">
              <w:marLeft w:val="0"/>
              <w:marRight w:val="0"/>
              <w:marTop w:val="0"/>
              <w:marBottom w:val="0"/>
              <w:divBdr>
                <w:top w:val="none" w:sz="0" w:space="0" w:color="auto"/>
                <w:left w:val="none" w:sz="0" w:space="0" w:color="auto"/>
                <w:bottom w:val="none" w:sz="0" w:space="0" w:color="auto"/>
                <w:right w:val="none" w:sz="0" w:space="0" w:color="auto"/>
              </w:divBdr>
            </w:div>
            <w:div w:id="1397850055">
              <w:marLeft w:val="0"/>
              <w:marRight w:val="0"/>
              <w:marTop w:val="0"/>
              <w:marBottom w:val="0"/>
              <w:divBdr>
                <w:top w:val="none" w:sz="0" w:space="0" w:color="auto"/>
                <w:left w:val="none" w:sz="0" w:space="0" w:color="auto"/>
                <w:bottom w:val="none" w:sz="0" w:space="0" w:color="auto"/>
                <w:right w:val="none" w:sz="0" w:space="0" w:color="auto"/>
              </w:divBdr>
            </w:div>
            <w:div w:id="1359551962">
              <w:marLeft w:val="0"/>
              <w:marRight w:val="0"/>
              <w:marTop w:val="0"/>
              <w:marBottom w:val="0"/>
              <w:divBdr>
                <w:top w:val="none" w:sz="0" w:space="0" w:color="auto"/>
                <w:left w:val="none" w:sz="0" w:space="0" w:color="auto"/>
                <w:bottom w:val="none" w:sz="0" w:space="0" w:color="auto"/>
                <w:right w:val="none" w:sz="0" w:space="0" w:color="auto"/>
              </w:divBdr>
              <w:divsChild>
                <w:div w:id="868222279">
                  <w:marLeft w:val="0"/>
                  <w:marRight w:val="0"/>
                  <w:marTop w:val="0"/>
                  <w:marBottom w:val="0"/>
                  <w:divBdr>
                    <w:top w:val="none" w:sz="0" w:space="0" w:color="auto"/>
                    <w:left w:val="none" w:sz="0" w:space="0" w:color="auto"/>
                    <w:bottom w:val="none" w:sz="0" w:space="0" w:color="auto"/>
                    <w:right w:val="none" w:sz="0" w:space="0" w:color="auto"/>
                  </w:divBdr>
                </w:div>
                <w:div w:id="1223440610">
                  <w:marLeft w:val="0"/>
                  <w:marRight w:val="0"/>
                  <w:marTop w:val="0"/>
                  <w:marBottom w:val="0"/>
                  <w:divBdr>
                    <w:top w:val="none" w:sz="0" w:space="0" w:color="auto"/>
                    <w:left w:val="none" w:sz="0" w:space="0" w:color="auto"/>
                    <w:bottom w:val="none" w:sz="0" w:space="0" w:color="auto"/>
                    <w:right w:val="none" w:sz="0" w:space="0" w:color="auto"/>
                  </w:divBdr>
                  <w:divsChild>
                    <w:div w:id="1970815039">
                      <w:marLeft w:val="0"/>
                      <w:marRight w:val="0"/>
                      <w:marTop w:val="0"/>
                      <w:marBottom w:val="0"/>
                      <w:divBdr>
                        <w:top w:val="none" w:sz="0" w:space="0" w:color="auto"/>
                        <w:left w:val="none" w:sz="0" w:space="0" w:color="auto"/>
                        <w:bottom w:val="none" w:sz="0" w:space="0" w:color="auto"/>
                        <w:right w:val="none" w:sz="0" w:space="0" w:color="auto"/>
                      </w:divBdr>
                      <w:divsChild>
                        <w:div w:id="936714208">
                          <w:marLeft w:val="0"/>
                          <w:marRight w:val="0"/>
                          <w:marTop w:val="0"/>
                          <w:marBottom w:val="0"/>
                          <w:divBdr>
                            <w:top w:val="none" w:sz="0" w:space="0" w:color="auto"/>
                            <w:left w:val="none" w:sz="0" w:space="0" w:color="auto"/>
                            <w:bottom w:val="none" w:sz="0" w:space="0" w:color="auto"/>
                            <w:right w:val="none" w:sz="0" w:space="0" w:color="auto"/>
                          </w:divBdr>
                          <w:divsChild>
                            <w:div w:id="16116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844245">
              <w:marLeft w:val="0"/>
              <w:marRight w:val="0"/>
              <w:marTop w:val="0"/>
              <w:marBottom w:val="0"/>
              <w:divBdr>
                <w:top w:val="none" w:sz="0" w:space="0" w:color="auto"/>
                <w:left w:val="none" w:sz="0" w:space="0" w:color="auto"/>
                <w:bottom w:val="none" w:sz="0" w:space="0" w:color="auto"/>
                <w:right w:val="none" w:sz="0" w:space="0" w:color="auto"/>
              </w:divBdr>
              <w:divsChild>
                <w:div w:id="955869333">
                  <w:marLeft w:val="0"/>
                  <w:marRight w:val="0"/>
                  <w:marTop w:val="0"/>
                  <w:marBottom w:val="0"/>
                  <w:divBdr>
                    <w:top w:val="none" w:sz="0" w:space="0" w:color="auto"/>
                    <w:left w:val="none" w:sz="0" w:space="0" w:color="auto"/>
                    <w:bottom w:val="none" w:sz="0" w:space="0" w:color="auto"/>
                    <w:right w:val="none" w:sz="0" w:space="0" w:color="auto"/>
                  </w:divBdr>
                </w:div>
                <w:div w:id="970867341">
                  <w:marLeft w:val="0"/>
                  <w:marRight w:val="0"/>
                  <w:marTop w:val="0"/>
                  <w:marBottom w:val="0"/>
                  <w:divBdr>
                    <w:top w:val="none" w:sz="0" w:space="0" w:color="auto"/>
                    <w:left w:val="none" w:sz="0" w:space="0" w:color="auto"/>
                    <w:bottom w:val="none" w:sz="0" w:space="0" w:color="auto"/>
                    <w:right w:val="none" w:sz="0" w:space="0" w:color="auto"/>
                  </w:divBdr>
                </w:div>
                <w:div w:id="1113328878">
                  <w:marLeft w:val="0"/>
                  <w:marRight w:val="0"/>
                  <w:marTop w:val="0"/>
                  <w:marBottom w:val="0"/>
                  <w:divBdr>
                    <w:top w:val="none" w:sz="0" w:space="0" w:color="auto"/>
                    <w:left w:val="none" w:sz="0" w:space="0" w:color="auto"/>
                    <w:bottom w:val="none" w:sz="0" w:space="0" w:color="auto"/>
                    <w:right w:val="none" w:sz="0" w:space="0" w:color="auto"/>
                  </w:divBdr>
                </w:div>
                <w:div w:id="410128061">
                  <w:marLeft w:val="0"/>
                  <w:marRight w:val="0"/>
                  <w:marTop w:val="0"/>
                  <w:marBottom w:val="0"/>
                  <w:divBdr>
                    <w:top w:val="none" w:sz="0" w:space="0" w:color="auto"/>
                    <w:left w:val="none" w:sz="0" w:space="0" w:color="auto"/>
                    <w:bottom w:val="none" w:sz="0" w:space="0" w:color="auto"/>
                    <w:right w:val="none" w:sz="0" w:space="0" w:color="auto"/>
                  </w:divBdr>
                  <w:divsChild>
                    <w:div w:id="1843163057">
                      <w:marLeft w:val="0"/>
                      <w:marRight w:val="0"/>
                      <w:marTop w:val="0"/>
                      <w:marBottom w:val="0"/>
                      <w:divBdr>
                        <w:top w:val="none" w:sz="0" w:space="0" w:color="auto"/>
                        <w:left w:val="none" w:sz="0" w:space="0" w:color="auto"/>
                        <w:bottom w:val="none" w:sz="0" w:space="0" w:color="auto"/>
                        <w:right w:val="none" w:sz="0" w:space="0" w:color="auto"/>
                      </w:divBdr>
                      <w:divsChild>
                        <w:div w:id="1168986804">
                          <w:marLeft w:val="0"/>
                          <w:marRight w:val="0"/>
                          <w:marTop w:val="0"/>
                          <w:marBottom w:val="0"/>
                          <w:divBdr>
                            <w:top w:val="none" w:sz="0" w:space="0" w:color="auto"/>
                            <w:left w:val="none" w:sz="0" w:space="0" w:color="auto"/>
                            <w:bottom w:val="none" w:sz="0" w:space="0" w:color="auto"/>
                            <w:right w:val="none" w:sz="0" w:space="0" w:color="auto"/>
                          </w:divBdr>
                          <w:divsChild>
                            <w:div w:id="10742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3930">
                      <w:marLeft w:val="0"/>
                      <w:marRight w:val="0"/>
                      <w:marTop w:val="0"/>
                      <w:marBottom w:val="0"/>
                      <w:divBdr>
                        <w:top w:val="none" w:sz="0" w:space="0" w:color="auto"/>
                        <w:left w:val="none" w:sz="0" w:space="0" w:color="auto"/>
                        <w:bottom w:val="none" w:sz="0" w:space="0" w:color="auto"/>
                        <w:right w:val="none" w:sz="0" w:space="0" w:color="auto"/>
                      </w:divBdr>
                      <w:divsChild>
                        <w:div w:id="57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80775">
              <w:marLeft w:val="0"/>
              <w:marRight w:val="0"/>
              <w:marTop w:val="0"/>
              <w:marBottom w:val="0"/>
              <w:divBdr>
                <w:top w:val="none" w:sz="0" w:space="0" w:color="auto"/>
                <w:left w:val="none" w:sz="0" w:space="0" w:color="auto"/>
                <w:bottom w:val="none" w:sz="0" w:space="0" w:color="auto"/>
                <w:right w:val="none" w:sz="0" w:space="0" w:color="auto"/>
              </w:divBdr>
            </w:div>
            <w:div w:id="1334141987">
              <w:marLeft w:val="0"/>
              <w:marRight w:val="0"/>
              <w:marTop w:val="0"/>
              <w:marBottom w:val="0"/>
              <w:divBdr>
                <w:top w:val="none" w:sz="0" w:space="0" w:color="auto"/>
                <w:left w:val="none" w:sz="0" w:space="0" w:color="auto"/>
                <w:bottom w:val="none" w:sz="0" w:space="0" w:color="auto"/>
                <w:right w:val="none" w:sz="0" w:space="0" w:color="auto"/>
              </w:divBdr>
            </w:div>
            <w:div w:id="702677452">
              <w:marLeft w:val="0"/>
              <w:marRight w:val="0"/>
              <w:marTop w:val="0"/>
              <w:marBottom w:val="0"/>
              <w:divBdr>
                <w:top w:val="none" w:sz="0" w:space="0" w:color="auto"/>
                <w:left w:val="none" w:sz="0" w:space="0" w:color="auto"/>
                <w:bottom w:val="none" w:sz="0" w:space="0" w:color="auto"/>
                <w:right w:val="none" w:sz="0" w:space="0" w:color="auto"/>
              </w:divBdr>
            </w:div>
            <w:div w:id="24719096">
              <w:marLeft w:val="0"/>
              <w:marRight w:val="0"/>
              <w:marTop w:val="0"/>
              <w:marBottom w:val="0"/>
              <w:divBdr>
                <w:top w:val="none" w:sz="0" w:space="0" w:color="auto"/>
                <w:left w:val="none" w:sz="0" w:space="0" w:color="auto"/>
                <w:bottom w:val="none" w:sz="0" w:space="0" w:color="auto"/>
                <w:right w:val="none" w:sz="0" w:space="0" w:color="auto"/>
              </w:divBdr>
            </w:div>
            <w:div w:id="20478137">
              <w:marLeft w:val="0"/>
              <w:marRight w:val="0"/>
              <w:marTop w:val="0"/>
              <w:marBottom w:val="0"/>
              <w:divBdr>
                <w:top w:val="none" w:sz="0" w:space="0" w:color="auto"/>
                <w:left w:val="none" w:sz="0" w:space="0" w:color="auto"/>
                <w:bottom w:val="none" w:sz="0" w:space="0" w:color="auto"/>
                <w:right w:val="none" w:sz="0" w:space="0" w:color="auto"/>
              </w:divBdr>
            </w:div>
            <w:div w:id="2099979645">
              <w:marLeft w:val="0"/>
              <w:marRight w:val="0"/>
              <w:marTop w:val="0"/>
              <w:marBottom w:val="0"/>
              <w:divBdr>
                <w:top w:val="none" w:sz="0" w:space="0" w:color="auto"/>
                <w:left w:val="none" w:sz="0" w:space="0" w:color="auto"/>
                <w:bottom w:val="none" w:sz="0" w:space="0" w:color="auto"/>
                <w:right w:val="none" w:sz="0" w:space="0" w:color="auto"/>
              </w:divBdr>
            </w:div>
            <w:div w:id="7874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com/article/archive/transgender-people-are-more-visible-than-ever-so-why-is-there-more-anti-trans-legislation-than-ever-to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l.quinan@uu.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B713C-388D-47FC-946A-81B0B8DFB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1858</Words>
  <Characters>10295</Characters>
  <Application>Microsoft Office Word</Application>
  <DocSecurity>0</DocSecurity>
  <Lines>155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dc:creator>
  <cp:keywords/>
  <dc:description/>
  <cp:lastModifiedBy>Rosemary Hunter</cp:lastModifiedBy>
  <cp:revision>3</cp:revision>
  <cp:lastPrinted>2019-06-18T16:00:00Z</cp:lastPrinted>
  <dcterms:created xsi:type="dcterms:W3CDTF">2020-10-30T21:50:00Z</dcterms:created>
  <dcterms:modified xsi:type="dcterms:W3CDTF">2020-10-30T22:00:00Z</dcterms:modified>
</cp:coreProperties>
</file>