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630E4" w14:textId="264B9E57" w:rsidR="00B77CBA" w:rsidRPr="00182B95" w:rsidRDefault="00B77CBA" w:rsidP="00182B95">
      <w:pPr>
        <w:pStyle w:val="Heading1"/>
      </w:pPr>
      <w:r w:rsidRPr="00182B95">
        <w:t xml:space="preserve">Gender inclusive legislative drafting in English: A </w:t>
      </w:r>
      <w:r w:rsidR="00D93BBD" w:rsidRPr="00182B95">
        <w:t>drafter’s response to Emily Grabham</w:t>
      </w:r>
    </w:p>
    <w:p w14:paraId="6EE83F97" w14:textId="77777777" w:rsidR="00182B95" w:rsidRDefault="00182B95" w:rsidP="00182B95">
      <w:pPr>
        <w:spacing w:line="240" w:lineRule="auto"/>
        <w:rPr>
          <w:rFonts w:ascii="Garamond" w:hAnsi="Garamond" w:cs="Times New Roman"/>
          <w:b/>
          <w:sz w:val="24"/>
          <w:szCs w:val="24"/>
        </w:rPr>
      </w:pPr>
    </w:p>
    <w:p w14:paraId="3E064327" w14:textId="297AF9BF" w:rsidR="0012164C" w:rsidRPr="00D7381D" w:rsidRDefault="0012164C" w:rsidP="00D7381D">
      <w:pPr>
        <w:spacing w:line="360" w:lineRule="auto"/>
        <w:rPr>
          <w:rFonts w:ascii="Garamond" w:hAnsi="Garamond" w:cs="Times New Roman"/>
          <w:b/>
          <w:sz w:val="24"/>
          <w:szCs w:val="24"/>
        </w:rPr>
      </w:pPr>
      <w:r>
        <w:rPr>
          <w:rFonts w:ascii="Garamond" w:hAnsi="Garamond" w:cs="Times New Roman"/>
          <w:b/>
          <w:sz w:val="24"/>
          <w:szCs w:val="24"/>
        </w:rPr>
        <w:t xml:space="preserve">Helen </w:t>
      </w:r>
      <w:proofErr w:type="spellStart"/>
      <w:r>
        <w:rPr>
          <w:rFonts w:ascii="Garamond" w:hAnsi="Garamond" w:cs="Times New Roman"/>
          <w:b/>
          <w:sz w:val="24"/>
          <w:szCs w:val="24"/>
        </w:rPr>
        <w:t>Xanthaki</w:t>
      </w:r>
      <w:proofErr w:type="spellEnd"/>
      <w:r w:rsidR="00182B95">
        <w:rPr>
          <w:rStyle w:val="FootnoteReference"/>
          <w:rFonts w:ascii="Garamond" w:hAnsi="Garamond" w:cs="Times New Roman"/>
          <w:b/>
          <w:sz w:val="24"/>
          <w:szCs w:val="24"/>
        </w:rPr>
        <w:footnoteReference w:customMarkFollows="1" w:id="1"/>
        <w:t>*</w:t>
      </w:r>
    </w:p>
    <w:p w14:paraId="323D8ECC" w14:textId="77777777" w:rsidR="005D18E8" w:rsidRDefault="005D18E8" w:rsidP="00D7381D">
      <w:pPr>
        <w:spacing w:line="480" w:lineRule="auto"/>
        <w:jc w:val="both"/>
        <w:rPr>
          <w:rFonts w:ascii="Garamond" w:hAnsi="Garamond" w:cs="Times New Roman"/>
          <w:sz w:val="24"/>
          <w:szCs w:val="24"/>
        </w:rPr>
      </w:pPr>
    </w:p>
    <w:p w14:paraId="1A11F67B" w14:textId="2A74418C" w:rsidR="00182B95" w:rsidRPr="00182B95" w:rsidRDefault="00D93BBD" w:rsidP="00A844FC">
      <w:pPr>
        <w:spacing w:before="100" w:beforeAutospacing="1" w:after="100" w:afterAutospacing="1" w:line="480" w:lineRule="auto"/>
        <w:rPr>
          <w:rFonts w:ascii="Garamond" w:hAnsi="Garamond" w:cs="Times New Roman"/>
          <w:sz w:val="24"/>
          <w:szCs w:val="24"/>
        </w:rPr>
      </w:pPr>
      <w:r w:rsidRPr="00D7381D">
        <w:rPr>
          <w:rFonts w:ascii="Garamond" w:hAnsi="Garamond" w:cs="Times New Roman"/>
          <w:sz w:val="24"/>
          <w:szCs w:val="24"/>
        </w:rPr>
        <w:t xml:space="preserve">Emily </w:t>
      </w:r>
      <w:proofErr w:type="spellStart"/>
      <w:r w:rsidRPr="00D7381D">
        <w:rPr>
          <w:rFonts w:ascii="Garamond" w:hAnsi="Garamond" w:cs="Times New Roman"/>
          <w:sz w:val="24"/>
          <w:szCs w:val="24"/>
        </w:rPr>
        <w:t>Grabham’s</w:t>
      </w:r>
      <w:proofErr w:type="spellEnd"/>
      <w:r w:rsidRPr="00D7381D">
        <w:rPr>
          <w:rFonts w:ascii="Garamond" w:hAnsi="Garamond" w:cs="Times New Roman"/>
          <w:sz w:val="24"/>
          <w:szCs w:val="24"/>
        </w:rPr>
        <w:t xml:space="preserve"> paper offers an insightful analysis on the legislative aspect of a uniquely innovative and challenging research</w:t>
      </w:r>
      <w:r w:rsidR="00A85729" w:rsidRPr="00D7381D">
        <w:rPr>
          <w:rFonts w:ascii="Garamond" w:hAnsi="Garamond" w:cs="Times New Roman"/>
          <w:sz w:val="24"/>
          <w:szCs w:val="24"/>
        </w:rPr>
        <w:t xml:space="preserve"> graced by </w:t>
      </w:r>
      <w:r w:rsidRPr="00D7381D">
        <w:rPr>
          <w:rFonts w:ascii="Garamond" w:hAnsi="Garamond" w:cs="Times New Roman"/>
          <w:sz w:val="24"/>
          <w:szCs w:val="24"/>
        </w:rPr>
        <w:t xml:space="preserve">theoretical connotations and practical applicability. My response </w:t>
      </w:r>
      <w:r w:rsidR="00C247EE" w:rsidRPr="00D7381D">
        <w:rPr>
          <w:rFonts w:ascii="Garamond" w:hAnsi="Garamond" w:cs="Times New Roman"/>
          <w:sz w:val="24"/>
          <w:szCs w:val="24"/>
        </w:rPr>
        <w:t xml:space="preserve">derives </w:t>
      </w:r>
      <w:r w:rsidRPr="00D7381D">
        <w:rPr>
          <w:rFonts w:ascii="Garamond" w:hAnsi="Garamond" w:cs="Times New Roman"/>
          <w:sz w:val="24"/>
          <w:szCs w:val="24"/>
        </w:rPr>
        <w:t>from the narrow world of legislative drafting</w:t>
      </w:r>
      <w:r w:rsidR="00D05DBD">
        <w:rPr>
          <w:rFonts w:ascii="Garamond" w:hAnsi="Garamond" w:cs="Times New Roman"/>
          <w:sz w:val="24"/>
          <w:szCs w:val="24"/>
        </w:rPr>
        <w:t xml:space="preserve"> </w:t>
      </w:r>
      <w:r w:rsidRPr="00D7381D">
        <w:rPr>
          <w:rFonts w:ascii="Garamond" w:hAnsi="Garamond" w:cs="Times New Roman"/>
          <w:sz w:val="24"/>
          <w:szCs w:val="24"/>
        </w:rPr>
        <w:t xml:space="preserve">and </w:t>
      </w:r>
      <w:r w:rsidR="00C247EE" w:rsidRPr="00D7381D">
        <w:rPr>
          <w:rFonts w:ascii="Garamond" w:hAnsi="Garamond" w:cs="Times New Roman"/>
          <w:sz w:val="24"/>
          <w:szCs w:val="24"/>
        </w:rPr>
        <w:t xml:space="preserve">comes </w:t>
      </w:r>
      <w:r w:rsidRPr="00D7381D">
        <w:rPr>
          <w:rFonts w:ascii="Garamond" w:hAnsi="Garamond" w:cs="Times New Roman"/>
          <w:sz w:val="24"/>
          <w:szCs w:val="24"/>
        </w:rPr>
        <w:t xml:space="preserve">with a disclaimer of complete </w:t>
      </w:r>
      <w:r w:rsidR="00C247EE" w:rsidRPr="00D7381D">
        <w:rPr>
          <w:rFonts w:ascii="Garamond" w:hAnsi="Garamond" w:cs="Times New Roman"/>
          <w:sz w:val="24"/>
          <w:szCs w:val="24"/>
        </w:rPr>
        <w:t xml:space="preserve">and utter </w:t>
      </w:r>
      <w:r w:rsidR="00AE35D5" w:rsidRPr="00D7381D">
        <w:rPr>
          <w:rFonts w:ascii="Garamond" w:hAnsi="Garamond" w:cs="Times New Roman"/>
          <w:sz w:val="24"/>
          <w:szCs w:val="24"/>
        </w:rPr>
        <w:t>naiveté</w:t>
      </w:r>
      <w:r w:rsidRPr="00D7381D">
        <w:rPr>
          <w:rFonts w:ascii="Garamond" w:hAnsi="Garamond" w:cs="Times New Roman"/>
          <w:sz w:val="24"/>
          <w:szCs w:val="24"/>
        </w:rPr>
        <w:t xml:space="preserve"> in the substantive aspects of the article and the wider research.</w:t>
      </w:r>
      <w:r w:rsidR="00AE35D5" w:rsidRPr="00D7381D">
        <w:rPr>
          <w:rFonts w:ascii="Garamond" w:hAnsi="Garamond" w:cs="Times New Roman"/>
          <w:sz w:val="24"/>
          <w:szCs w:val="24"/>
        </w:rPr>
        <w:t xml:space="preserve"> Let me reassure you: t</w:t>
      </w:r>
      <w:r w:rsidR="00C247EE" w:rsidRPr="00D7381D">
        <w:rPr>
          <w:rFonts w:ascii="Garamond" w:hAnsi="Garamond" w:cs="Times New Roman"/>
          <w:sz w:val="24"/>
          <w:szCs w:val="24"/>
        </w:rPr>
        <w:t>his is not unusual in legislative drafting</w:t>
      </w:r>
      <w:r w:rsidR="00AE35D5" w:rsidRPr="00D7381D">
        <w:rPr>
          <w:rFonts w:ascii="Garamond" w:hAnsi="Garamond" w:cs="Times New Roman"/>
          <w:sz w:val="24"/>
          <w:szCs w:val="24"/>
        </w:rPr>
        <w:t xml:space="preserve">. A drafter’s </w:t>
      </w:r>
      <w:r w:rsidR="00C247EE" w:rsidRPr="00D7381D">
        <w:rPr>
          <w:rFonts w:ascii="Garamond" w:hAnsi="Garamond" w:cs="Times New Roman"/>
          <w:sz w:val="24"/>
          <w:szCs w:val="24"/>
        </w:rPr>
        <w:t xml:space="preserve">awareness of the policy and law </w:t>
      </w:r>
      <w:r w:rsidR="00AE35D5" w:rsidRPr="00D7381D">
        <w:rPr>
          <w:rFonts w:ascii="Garamond" w:hAnsi="Garamond" w:cs="Times New Roman"/>
          <w:sz w:val="24"/>
          <w:szCs w:val="24"/>
        </w:rPr>
        <w:t xml:space="preserve">related to the drafting task </w:t>
      </w:r>
      <w:r w:rsidR="00C247EE" w:rsidRPr="00D7381D">
        <w:rPr>
          <w:rFonts w:ascii="Garamond" w:hAnsi="Garamond" w:cs="Times New Roman"/>
          <w:sz w:val="24"/>
          <w:szCs w:val="24"/>
        </w:rPr>
        <w:t xml:space="preserve">is </w:t>
      </w:r>
      <w:r w:rsidR="00AE35D5" w:rsidRPr="00D7381D">
        <w:rPr>
          <w:rFonts w:ascii="Garamond" w:hAnsi="Garamond" w:cs="Times New Roman"/>
          <w:sz w:val="24"/>
          <w:szCs w:val="24"/>
        </w:rPr>
        <w:t>un</w:t>
      </w:r>
      <w:r w:rsidR="00C247EE" w:rsidRPr="00D7381D">
        <w:rPr>
          <w:rFonts w:ascii="Garamond" w:hAnsi="Garamond" w:cs="Times New Roman"/>
          <w:sz w:val="24"/>
          <w:szCs w:val="24"/>
        </w:rPr>
        <w:t>necessary</w:t>
      </w:r>
      <w:r w:rsidR="00AE35D5" w:rsidRPr="00D7381D">
        <w:rPr>
          <w:rFonts w:ascii="Garamond" w:hAnsi="Garamond" w:cs="Times New Roman"/>
          <w:sz w:val="24"/>
          <w:szCs w:val="24"/>
        </w:rPr>
        <w:t xml:space="preserve">. In </w:t>
      </w:r>
      <w:r w:rsidR="00C247EE" w:rsidRPr="00D7381D">
        <w:rPr>
          <w:rFonts w:ascii="Garamond" w:hAnsi="Garamond" w:cs="Times New Roman"/>
          <w:sz w:val="24"/>
          <w:szCs w:val="24"/>
        </w:rPr>
        <w:t xml:space="preserve">fact, </w:t>
      </w:r>
      <w:r w:rsidR="00AE35D5" w:rsidRPr="00D7381D">
        <w:rPr>
          <w:rFonts w:ascii="Garamond" w:hAnsi="Garamond" w:cs="Times New Roman"/>
          <w:sz w:val="24"/>
          <w:szCs w:val="24"/>
        </w:rPr>
        <w:t xml:space="preserve">it is </w:t>
      </w:r>
      <w:r w:rsidR="00C247EE" w:rsidRPr="00D7381D">
        <w:rPr>
          <w:rFonts w:ascii="Garamond" w:hAnsi="Garamond" w:cs="Times New Roman"/>
          <w:sz w:val="24"/>
          <w:szCs w:val="24"/>
        </w:rPr>
        <w:t xml:space="preserve">often unwelcome. The task of a drafter is to </w:t>
      </w:r>
      <w:r w:rsidR="00AE35D5" w:rsidRPr="00D7381D">
        <w:rPr>
          <w:rFonts w:ascii="Garamond" w:hAnsi="Garamond" w:cs="Times New Roman"/>
          <w:sz w:val="24"/>
          <w:szCs w:val="24"/>
        </w:rPr>
        <w:t>“</w:t>
      </w:r>
      <w:r w:rsidR="00C247EE" w:rsidRPr="00D7381D">
        <w:rPr>
          <w:rFonts w:ascii="Garamond" w:hAnsi="Garamond" w:cs="Times New Roman"/>
          <w:sz w:val="24"/>
          <w:szCs w:val="24"/>
        </w:rPr>
        <w:t>speak</w:t>
      </w:r>
      <w:r w:rsidR="00AE35D5" w:rsidRPr="00D7381D">
        <w:rPr>
          <w:rFonts w:ascii="Garamond" w:hAnsi="Garamond" w:cs="Times New Roman"/>
          <w:sz w:val="24"/>
          <w:szCs w:val="24"/>
        </w:rPr>
        <w:t>”</w:t>
      </w:r>
      <w:r w:rsidR="00C247EE" w:rsidRPr="00D7381D">
        <w:rPr>
          <w:rFonts w:ascii="Garamond" w:hAnsi="Garamond" w:cs="Times New Roman"/>
          <w:sz w:val="24"/>
          <w:szCs w:val="24"/>
        </w:rPr>
        <w:t xml:space="preserve"> the regulatory message</w:t>
      </w:r>
      <w:r w:rsidR="00AE35D5" w:rsidRPr="00D7381D">
        <w:rPr>
          <w:rFonts w:ascii="Garamond" w:hAnsi="Garamond" w:cs="Times New Roman"/>
          <w:sz w:val="24"/>
          <w:szCs w:val="24"/>
        </w:rPr>
        <w:t>s</w:t>
      </w:r>
      <w:r w:rsidR="00C247EE" w:rsidRPr="00D7381D">
        <w:rPr>
          <w:rFonts w:ascii="Garamond" w:hAnsi="Garamond" w:cs="Times New Roman"/>
          <w:sz w:val="24"/>
          <w:szCs w:val="24"/>
        </w:rPr>
        <w:t xml:space="preserve"> to the legislative audiences in a manner that enables them to receive </w:t>
      </w:r>
      <w:r w:rsidR="00AE35D5" w:rsidRPr="00D7381D">
        <w:rPr>
          <w:rFonts w:ascii="Garamond" w:hAnsi="Garamond" w:cs="Times New Roman"/>
          <w:sz w:val="24"/>
          <w:szCs w:val="24"/>
        </w:rPr>
        <w:t xml:space="preserve">them </w:t>
      </w:r>
      <w:r w:rsidR="00C247EE" w:rsidRPr="00D7381D">
        <w:rPr>
          <w:rFonts w:ascii="Garamond" w:hAnsi="Garamond" w:cs="Times New Roman"/>
          <w:sz w:val="24"/>
          <w:szCs w:val="24"/>
        </w:rPr>
        <w:t xml:space="preserve">as </w:t>
      </w:r>
      <w:r w:rsidR="00AE35D5" w:rsidRPr="00D7381D">
        <w:rPr>
          <w:rFonts w:ascii="Garamond" w:hAnsi="Garamond" w:cs="Times New Roman"/>
          <w:sz w:val="24"/>
          <w:szCs w:val="24"/>
        </w:rPr>
        <w:t xml:space="preserve">they were </w:t>
      </w:r>
      <w:r w:rsidR="00C247EE" w:rsidRPr="00D7381D">
        <w:rPr>
          <w:rFonts w:ascii="Garamond" w:hAnsi="Garamond" w:cs="Times New Roman"/>
          <w:sz w:val="24"/>
          <w:szCs w:val="24"/>
        </w:rPr>
        <w:t>intended.</w:t>
      </w:r>
      <w:r w:rsidR="00320500" w:rsidRPr="00D7381D">
        <w:rPr>
          <w:rFonts w:ascii="Garamond" w:hAnsi="Garamond" w:cs="Times New Roman"/>
          <w:sz w:val="24"/>
          <w:szCs w:val="24"/>
        </w:rPr>
        <w:t xml:space="preserve"> Being unaware of the policy and law tinging the legislative communication that is legislative drafting</w:t>
      </w:r>
      <w:r w:rsidR="004D418B">
        <w:rPr>
          <w:rFonts w:ascii="Garamond" w:hAnsi="Garamond" w:cs="Times New Roman"/>
          <w:sz w:val="24"/>
          <w:szCs w:val="24"/>
        </w:rPr>
        <w:t xml:space="preserve"> </w:t>
      </w:r>
      <w:r w:rsidR="004D418B">
        <w:rPr>
          <w:rFonts w:ascii="Garamond" w:hAnsi="Garamond" w:cs="Times New Roman"/>
          <w:sz w:val="24"/>
          <w:szCs w:val="24"/>
        </w:rPr>
        <w:fldChar w:fldCharType="begin"/>
      </w:r>
      <w:r w:rsidR="00F272C8">
        <w:rPr>
          <w:rFonts w:ascii="Garamond" w:hAnsi="Garamond" w:cs="Times New Roman"/>
          <w:sz w:val="24"/>
          <w:szCs w:val="24"/>
        </w:rPr>
        <w:instrText xml:space="preserve"> ADDIN ZOTERO_ITEM CSL_CITATION {"citationID":"nfPA6FJ3","properties":{"formattedCitation":"(Stefanou, 2011, 2008)","plainCitation":"(Stefanou, 2011, 2008)","noteIndex":0},"citationItems":[{"id":3513,"uris":["http://zotero.org/users/1070015/items/E7H6YUT7"],"uri":["http://zotero.org/users/1070015/items/E7H6YUT7"],"itemData":{"id":3513,"type":"chapter","container-title":"Quality of Legislation Principles and Instruments","event-place":"Baden-Baden","page":"308-320","publisher":"Nomos","publisher-place":"Baden-Baden","title":"Legislative Drafting as a Form of Communication","author":[{"family":"Stefanou","given":"Constantin"}],"issued":{"date-parts":[["2011"]]}}},{"id":3514,"uris":["http://zotero.org/users/1070015/items/WGD8ARF6"],"uri":["http://zotero.org/users/1070015/items/WGD8ARF6"],"itemData":{"id":3514,"type":"chapter","container-title":"Drafting Legislation: A Modern Approach","page":"321","publisher":"Ashgate","title":"Drafters, Drafting and the Policy Process","author":[{"family":"Stefanou","given":"Constantin"}],"issued":{"date-parts":[["2008"]]}}}],"schema":"https://github.com/citation-style-language/schema/raw/master/csl-citation.json"} </w:instrText>
      </w:r>
      <w:r w:rsidR="004D418B">
        <w:rPr>
          <w:rFonts w:ascii="Garamond" w:hAnsi="Garamond" w:cs="Times New Roman"/>
          <w:sz w:val="24"/>
          <w:szCs w:val="24"/>
        </w:rPr>
        <w:fldChar w:fldCharType="separate"/>
      </w:r>
      <w:r w:rsidR="00F272C8">
        <w:rPr>
          <w:rFonts w:ascii="Garamond" w:hAnsi="Garamond" w:cs="Times New Roman"/>
          <w:noProof/>
          <w:sz w:val="24"/>
          <w:szCs w:val="24"/>
        </w:rPr>
        <w:t>(Stefanou, 2011, 2008)</w:t>
      </w:r>
      <w:r w:rsidR="004D418B">
        <w:rPr>
          <w:rFonts w:ascii="Garamond" w:hAnsi="Garamond" w:cs="Times New Roman"/>
          <w:sz w:val="24"/>
          <w:szCs w:val="24"/>
        </w:rPr>
        <w:fldChar w:fldCharType="end"/>
      </w:r>
      <w:r w:rsidR="00320500" w:rsidRPr="00D7381D">
        <w:rPr>
          <w:rFonts w:ascii="Garamond" w:hAnsi="Garamond" w:cs="Times New Roman"/>
          <w:sz w:val="24"/>
          <w:szCs w:val="24"/>
        </w:rPr>
        <w:t xml:space="preserve"> may offer the drafter the opportunity to place themselves in the position of the lay user, thus enabling them to identify </w:t>
      </w:r>
      <w:r w:rsidR="00AE35D5" w:rsidRPr="00D7381D">
        <w:rPr>
          <w:rFonts w:ascii="Garamond" w:hAnsi="Garamond" w:cs="Times New Roman"/>
          <w:sz w:val="24"/>
          <w:szCs w:val="24"/>
        </w:rPr>
        <w:t xml:space="preserve">with greater accuracy </w:t>
      </w:r>
      <w:r w:rsidR="00320500" w:rsidRPr="00D7381D">
        <w:rPr>
          <w:rFonts w:ascii="Garamond" w:hAnsi="Garamond" w:cs="Times New Roman"/>
          <w:sz w:val="24"/>
          <w:szCs w:val="24"/>
        </w:rPr>
        <w:t>the elements of the communication needed to make the regulatory message accessible</w:t>
      </w:r>
      <w:r w:rsidR="00337423" w:rsidRPr="00D7381D">
        <w:rPr>
          <w:rFonts w:ascii="Garamond" w:hAnsi="Garamond" w:cs="Times New Roman"/>
          <w:sz w:val="24"/>
          <w:szCs w:val="24"/>
        </w:rPr>
        <w:t xml:space="preserve">, and indeed accessible </w:t>
      </w:r>
      <w:r w:rsidR="00320500" w:rsidRPr="00D7381D">
        <w:rPr>
          <w:rFonts w:ascii="Garamond" w:hAnsi="Garamond" w:cs="Times New Roman"/>
          <w:sz w:val="24"/>
          <w:szCs w:val="24"/>
        </w:rPr>
        <w:t>in its fullness.</w:t>
      </w:r>
    </w:p>
    <w:p w14:paraId="518EA5AC" w14:textId="193C40AA" w:rsidR="00D7381D" w:rsidRPr="00182B95" w:rsidRDefault="0022169E" w:rsidP="00A844FC">
      <w:pPr>
        <w:pStyle w:val="Heading2"/>
        <w:jc w:val="left"/>
      </w:pPr>
      <w:r w:rsidRPr="00182B95">
        <w:t>Legislative drafting is informed by policy</w:t>
      </w:r>
      <w:r w:rsidR="00065F4F" w:rsidRPr="00182B95">
        <w:t xml:space="preserve"> but does not inform policy</w:t>
      </w:r>
      <w:r w:rsidRPr="00182B95">
        <w:t xml:space="preserve"> </w:t>
      </w:r>
    </w:p>
    <w:p w14:paraId="686711F1" w14:textId="46A5A9C9" w:rsidR="008846FA" w:rsidRDefault="00B76173" w:rsidP="00A844FC">
      <w:pPr>
        <w:spacing w:line="480" w:lineRule="auto"/>
        <w:contextualSpacing/>
        <w:rPr>
          <w:rFonts w:ascii="Garamond" w:eastAsia="Arial" w:hAnsi="Garamond" w:cs="Times New Roman"/>
          <w:color w:val="000000"/>
          <w:sz w:val="24"/>
          <w:szCs w:val="24"/>
        </w:rPr>
      </w:pPr>
      <w:r w:rsidRPr="00885EFA">
        <w:rPr>
          <w:rStyle w:val="apple-style-span"/>
          <w:rFonts w:ascii="Garamond" w:hAnsi="Garamond" w:cs="Times New Roman"/>
          <w:color w:val="000000"/>
          <w:sz w:val="24"/>
          <w:szCs w:val="24"/>
        </w:rPr>
        <w:t xml:space="preserve">Within </w:t>
      </w:r>
      <w:r w:rsidR="00065F4F" w:rsidRPr="00885EFA">
        <w:rPr>
          <w:rStyle w:val="apple-style-span"/>
          <w:rFonts w:ascii="Garamond" w:hAnsi="Garamond" w:cs="Times New Roman"/>
          <w:color w:val="000000"/>
          <w:sz w:val="24"/>
          <w:szCs w:val="24"/>
        </w:rPr>
        <w:t xml:space="preserve">a </w:t>
      </w:r>
      <w:r w:rsidRPr="00885EFA">
        <w:rPr>
          <w:rStyle w:val="apple-style-span"/>
          <w:rFonts w:ascii="Garamond" w:hAnsi="Garamond" w:cs="Times New Roman"/>
          <w:color w:val="000000"/>
          <w:sz w:val="24"/>
          <w:szCs w:val="24"/>
        </w:rPr>
        <w:t>functionalist realm, legislation is a tool for regulation</w:t>
      </w:r>
      <w:r w:rsidR="00065F4F" w:rsidRPr="00885EFA">
        <w:rPr>
          <w:rStyle w:val="apple-style-span"/>
          <w:rFonts w:ascii="Garamond" w:hAnsi="Garamond" w:cs="Times New Roman"/>
          <w:color w:val="000000"/>
          <w:sz w:val="24"/>
          <w:szCs w:val="24"/>
        </w:rPr>
        <w:t xml:space="preserve"> or </w:t>
      </w:r>
      <w:r w:rsidRPr="00885EFA">
        <w:rPr>
          <w:rStyle w:val="apple-style-span"/>
          <w:rFonts w:ascii="Garamond" w:hAnsi="Garamond" w:cs="Times New Roman"/>
          <w:color w:val="000000"/>
          <w:sz w:val="24"/>
          <w:szCs w:val="24"/>
        </w:rPr>
        <w:t>the legislative expression of government policy</w:t>
      </w:r>
      <w:r w:rsidR="004A2DA9">
        <w:rPr>
          <w:rStyle w:val="apple-style-span"/>
          <w:rFonts w:ascii="Garamond" w:hAnsi="Garamond" w:cs="Times New Roman"/>
          <w:color w:val="000000"/>
          <w:sz w:val="24"/>
          <w:szCs w:val="24"/>
        </w:rPr>
        <w:t>.</w:t>
      </w:r>
      <w:r w:rsidRPr="00885EFA">
        <w:rPr>
          <w:rStyle w:val="FootnoteReference"/>
          <w:rFonts w:ascii="Garamond" w:hAnsi="Garamond"/>
          <w:sz w:val="24"/>
          <w:szCs w:val="24"/>
        </w:rPr>
        <w:footnoteReference w:id="2"/>
      </w:r>
      <w:r w:rsidRPr="00885EFA">
        <w:rPr>
          <w:rStyle w:val="apple-style-span"/>
          <w:rFonts w:ascii="Garamond" w:hAnsi="Garamond" w:cs="Times New Roman"/>
          <w:color w:val="000000"/>
          <w:sz w:val="24"/>
          <w:szCs w:val="24"/>
        </w:rPr>
        <w:t xml:space="preserve"> </w:t>
      </w:r>
      <w:r w:rsidR="00065F4F" w:rsidRPr="00885EFA">
        <w:rPr>
          <w:rStyle w:val="apple-style-span"/>
          <w:rFonts w:ascii="Garamond" w:hAnsi="Garamond" w:cs="Times New Roman"/>
          <w:color w:val="000000"/>
          <w:sz w:val="24"/>
          <w:szCs w:val="24"/>
        </w:rPr>
        <w:t>In other words, r</w:t>
      </w:r>
      <w:r w:rsidRPr="00885EFA">
        <w:rPr>
          <w:rStyle w:val="apple-style-span"/>
          <w:rFonts w:ascii="Garamond" w:hAnsi="Garamond" w:cs="Times New Roman"/>
          <w:color w:val="000000"/>
          <w:sz w:val="24"/>
          <w:szCs w:val="24"/>
        </w:rPr>
        <w:t>egulation</w:t>
      </w:r>
      <w:r w:rsidR="00065F4F" w:rsidRPr="00885EFA">
        <w:rPr>
          <w:rStyle w:val="apple-style-span"/>
          <w:rFonts w:ascii="Garamond" w:hAnsi="Garamond" w:cs="Times New Roman"/>
          <w:color w:val="000000"/>
          <w:sz w:val="24"/>
          <w:szCs w:val="24"/>
        </w:rPr>
        <w:t xml:space="preserve"> </w:t>
      </w:r>
      <w:r w:rsidRPr="00885EFA">
        <w:rPr>
          <w:rStyle w:val="apple-style-span"/>
          <w:rFonts w:ascii="Garamond" w:hAnsi="Garamond" w:cs="Times New Roman"/>
          <w:color w:val="000000"/>
          <w:sz w:val="24"/>
          <w:szCs w:val="24"/>
        </w:rPr>
        <w:t>is the process of putting government policies into effect</w:t>
      </w:r>
      <w:r w:rsidR="009008BE">
        <w:rPr>
          <w:rStyle w:val="apple-style-span"/>
          <w:rFonts w:ascii="Garamond" w:hAnsi="Garamond" w:cs="Times New Roman"/>
          <w:color w:val="000000"/>
          <w:sz w:val="24"/>
          <w:szCs w:val="24"/>
        </w:rPr>
        <w:t xml:space="preserve"> </w:t>
      </w:r>
      <w:r w:rsidR="009008BE">
        <w:rPr>
          <w:rStyle w:val="apple-style-span"/>
          <w:rFonts w:ascii="Garamond" w:hAnsi="Garamond" w:cs="Times New Roman"/>
          <w:color w:val="000000"/>
          <w:sz w:val="24"/>
          <w:szCs w:val="24"/>
        </w:rPr>
        <w:fldChar w:fldCharType="begin"/>
      </w:r>
      <w:r w:rsidR="00744504">
        <w:rPr>
          <w:rStyle w:val="apple-style-span"/>
          <w:rFonts w:ascii="Garamond" w:hAnsi="Garamond" w:cs="Times New Roman"/>
          <w:color w:val="000000"/>
          <w:sz w:val="24"/>
          <w:szCs w:val="24"/>
        </w:rPr>
        <w:instrText xml:space="preserve"> ADDIN ZOTERO_ITEM CSL_CITATION {"citationID":"W2ZqQN7b","properties":{"formattedCitation":"(Alexander and Sherwin, 2001)","plainCitation":"(Alexander and Sherwin, 2001)","noteIndex":0},"citationItems":[{"id":3517,"uris":["http://zotero.org/users/1070015/items/SI4BT326"],"uri":["http://zotero.org/users/1070015/items/SI4BT326"],"itemData":{"id":3517,"type":"book","abstract":"Rules perform a moral function by restating moral principles in concrete terms, so as to reduce the uncertainty, error, and controversy that result when individuals follow their own unconstrained moral judgment. Although reason dictates that we must follow rules to avoid destructive error and controversy, rules-and hence laws-are imperfect, and reason also dictates that we ought not follow them when we believe they produce the wrong result in a particular case. In The Rule of Rules Larry Alexander and Emily Sherwin examine this dilemma. Once the importance of this moral and practical conflict is acknowledged, the authors argue, authoritative rules become the central problems of jurisprudence. The inevitable gap between rules and background morality cannot be bridged, they claim, although many contemporary jurisprudential schools of thought are misguided attempts to do so. Alexander and Sherwin work through this dilemma, which lies at the heart of such ongoing jurisprudential controversies as how judges should reason in deciding cases, what effect should be given to legal precedent, and what status, if any, should be accorded to \"legal principles.\" In the end, their rigorous discussion sheds light on such topics as the nature of interpretation, the ancient dispute among legal theorists over natural law versus positivism, the obligation to obey law, constitutionalism, and the relation between law and coercion. Those interested in jurisprudence, legal theory, and political philosophy will benefit from the edifying discussion in The Rule of Rules.","publisher":"Duke University Press","source":"Amazon","title":"The Rule of Rules: Morality, Rules and the Dilemmas of Law","title-short":"The Rule of Rules","author":[{"family":"Alexander","given":"Larry"},{"family":"Sherwin","given":"Emily"}],"issued":{"date-parts":[["2001"]]}}}],"schema":"https://github.com/citation-style-language/schema/raw/master/csl-citation.json"} </w:instrText>
      </w:r>
      <w:r w:rsidR="009008BE">
        <w:rPr>
          <w:rStyle w:val="apple-style-span"/>
          <w:rFonts w:ascii="Garamond" w:hAnsi="Garamond" w:cs="Times New Roman"/>
          <w:color w:val="000000"/>
          <w:sz w:val="24"/>
          <w:szCs w:val="24"/>
        </w:rPr>
        <w:fldChar w:fldCharType="separate"/>
      </w:r>
      <w:r w:rsidR="00744504">
        <w:rPr>
          <w:rStyle w:val="apple-style-span"/>
          <w:rFonts w:ascii="Garamond" w:hAnsi="Garamond" w:cs="Times New Roman"/>
          <w:noProof/>
          <w:color w:val="000000"/>
          <w:sz w:val="24"/>
          <w:szCs w:val="24"/>
        </w:rPr>
        <w:t>(Alexander and Sherwin, 2001)</w:t>
      </w:r>
      <w:r w:rsidR="009008BE">
        <w:rPr>
          <w:rStyle w:val="apple-style-span"/>
          <w:rFonts w:ascii="Garamond" w:hAnsi="Garamond" w:cs="Times New Roman"/>
          <w:color w:val="000000"/>
          <w:sz w:val="24"/>
          <w:szCs w:val="24"/>
        </w:rPr>
        <w:fldChar w:fldCharType="end"/>
      </w:r>
      <w:r w:rsidR="00065F4F" w:rsidRPr="00885EFA">
        <w:rPr>
          <w:rStyle w:val="apple-style-span"/>
          <w:rFonts w:ascii="Garamond" w:hAnsi="Garamond" w:cs="Times New Roman"/>
          <w:color w:val="000000"/>
          <w:sz w:val="24"/>
          <w:szCs w:val="24"/>
        </w:rPr>
        <w:t>,</w:t>
      </w:r>
      <w:r w:rsidRPr="00885EFA">
        <w:rPr>
          <w:rStyle w:val="apple-style-span"/>
          <w:rFonts w:ascii="Garamond" w:hAnsi="Garamond" w:cs="Times New Roman"/>
          <w:color w:val="000000"/>
          <w:sz w:val="24"/>
          <w:szCs w:val="24"/>
        </w:rPr>
        <w:t xml:space="preserve"> to the degree and extent intended by government</w:t>
      </w:r>
      <w:r w:rsidR="00421A2B">
        <w:rPr>
          <w:rStyle w:val="apple-style-span"/>
          <w:rFonts w:ascii="Garamond" w:hAnsi="Garamond" w:cs="Times New Roman"/>
          <w:color w:val="000000"/>
          <w:sz w:val="24"/>
          <w:szCs w:val="24"/>
        </w:rPr>
        <w:t xml:space="preserve"> (see </w:t>
      </w:r>
      <w:r w:rsidR="00421A2B">
        <w:rPr>
          <w:rStyle w:val="apple-style-span"/>
          <w:rFonts w:ascii="Garamond" w:hAnsi="Garamond" w:cs="Times New Roman"/>
          <w:color w:val="000000"/>
          <w:sz w:val="24"/>
          <w:szCs w:val="24"/>
        </w:rPr>
        <w:lastRenderedPageBreak/>
        <w:t>National Audit Office and Department for Business, Innovation and Skills, 2011)</w:t>
      </w:r>
      <w:r w:rsidRPr="00885EFA">
        <w:rPr>
          <w:rStyle w:val="apple-style-span"/>
          <w:rFonts w:ascii="Garamond" w:hAnsi="Garamond" w:cs="Times New Roman"/>
          <w:color w:val="000000"/>
          <w:sz w:val="24"/>
          <w:szCs w:val="24"/>
        </w:rPr>
        <w:t>. One of the many regulatory</w:t>
      </w:r>
      <w:r w:rsidRPr="00885EFA">
        <w:rPr>
          <w:rFonts w:ascii="Garamond" w:hAnsi="Garamond" w:cs="Times New Roman"/>
          <w:color w:val="000000"/>
          <w:sz w:val="24"/>
          <w:szCs w:val="24"/>
        </w:rPr>
        <w:t xml:space="preserve"> schemes</w:t>
      </w:r>
      <w:r w:rsidR="00901910">
        <w:rPr>
          <w:rFonts w:ascii="Garamond" w:hAnsi="Garamond" w:cs="Times New Roman"/>
          <w:color w:val="000000"/>
          <w:sz w:val="24"/>
          <w:szCs w:val="24"/>
        </w:rPr>
        <w:t xml:space="preserve"> </w:t>
      </w:r>
      <w:r w:rsidR="00901910">
        <w:rPr>
          <w:rFonts w:ascii="Garamond" w:hAnsi="Garamond" w:cs="Times New Roman"/>
          <w:color w:val="000000"/>
          <w:sz w:val="24"/>
          <w:szCs w:val="24"/>
        </w:rPr>
        <w:fldChar w:fldCharType="begin"/>
      </w:r>
      <w:r w:rsidR="00674410">
        <w:rPr>
          <w:rFonts w:ascii="Garamond" w:hAnsi="Garamond" w:cs="Times New Roman"/>
          <w:color w:val="000000"/>
          <w:sz w:val="24"/>
          <w:szCs w:val="24"/>
        </w:rPr>
        <w:instrText xml:space="preserve"> ADDIN ZOTERO_ITEM CSL_CITATION {"citationID":"1h0pmc7D","properties":{"formattedCitation":"(Miller, 1985)","plainCitation":"(Miller, 1985)","noteIndex":0},"citationItems":[{"id":3519,"uris":["http://zotero.org/users/1070015/items/6KNU9GDX"],"uri":["http://zotero.org/users/1070015/items/6KNU9GDX"],"itemData":{"id":3519,"type":"article-journal","container-title":"Cato Journal","page":"897-903","title":"The FTC and Voluntary Standards: Maximizing the Net Benefits of Self-Regulation","author":[{"family":"Miller","given":"J"}],"issued":{"date-parts":[["1985"]]}}}],"schema":"https://github.com/citation-style-language/schema/raw/master/csl-citation.json"} </w:instrText>
      </w:r>
      <w:r w:rsidR="00901910">
        <w:rPr>
          <w:rFonts w:ascii="Garamond" w:hAnsi="Garamond" w:cs="Times New Roman"/>
          <w:color w:val="000000"/>
          <w:sz w:val="24"/>
          <w:szCs w:val="24"/>
        </w:rPr>
        <w:fldChar w:fldCharType="separate"/>
      </w:r>
      <w:r w:rsidR="00674410">
        <w:rPr>
          <w:rFonts w:ascii="Garamond" w:hAnsi="Garamond" w:cs="Times New Roman"/>
          <w:noProof/>
          <w:color w:val="000000"/>
          <w:sz w:val="24"/>
          <w:szCs w:val="24"/>
        </w:rPr>
        <w:t>(Miller, 1985</w:t>
      </w:r>
      <w:r w:rsidR="00421A2B">
        <w:rPr>
          <w:rFonts w:ascii="Garamond" w:hAnsi="Garamond" w:cs="Times New Roman"/>
          <w:noProof/>
          <w:color w:val="000000"/>
          <w:sz w:val="24"/>
          <w:szCs w:val="24"/>
        </w:rPr>
        <w:t>; BRTF, 2005</w:t>
      </w:r>
      <w:r w:rsidR="00674410">
        <w:rPr>
          <w:rFonts w:ascii="Garamond" w:hAnsi="Garamond" w:cs="Times New Roman"/>
          <w:noProof/>
          <w:color w:val="000000"/>
          <w:sz w:val="24"/>
          <w:szCs w:val="24"/>
        </w:rPr>
        <w:t>)</w:t>
      </w:r>
      <w:r w:rsidR="00901910">
        <w:rPr>
          <w:rFonts w:ascii="Garamond" w:hAnsi="Garamond" w:cs="Times New Roman"/>
          <w:color w:val="000000"/>
          <w:sz w:val="24"/>
          <w:szCs w:val="24"/>
        </w:rPr>
        <w:fldChar w:fldCharType="end"/>
      </w:r>
      <w:r w:rsidRPr="00885EFA">
        <w:rPr>
          <w:rFonts w:ascii="Garamond" w:hAnsi="Garamond" w:cs="Times New Roman"/>
          <w:color w:val="000000"/>
          <w:sz w:val="24"/>
          <w:szCs w:val="24"/>
        </w:rPr>
        <w:t xml:space="preserve"> or tools</w:t>
      </w:r>
      <w:r w:rsidR="00CF5BF6">
        <w:rPr>
          <w:rFonts w:ascii="Garamond" w:hAnsi="Garamond" w:cs="Times New Roman"/>
          <w:color w:val="000000"/>
          <w:sz w:val="24"/>
          <w:szCs w:val="24"/>
        </w:rPr>
        <w:t xml:space="preserve"> (see OECD, 2002a, para. 0.3; </w:t>
      </w:r>
      <w:r w:rsidR="009E17D5">
        <w:rPr>
          <w:rFonts w:ascii="Garamond" w:hAnsi="Garamond" w:cs="Times New Roman"/>
          <w:color w:val="000000"/>
          <w:sz w:val="24"/>
          <w:szCs w:val="24"/>
        </w:rPr>
        <w:t xml:space="preserve">OECD, </w:t>
      </w:r>
      <w:r w:rsidR="00CF5BF6">
        <w:rPr>
          <w:rFonts w:ascii="Garamond" w:hAnsi="Garamond" w:cs="Times New Roman"/>
          <w:color w:val="000000"/>
          <w:sz w:val="24"/>
          <w:szCs w:val="24"/>
        </w:rPr>
        <w:t>2002b)</w:t>
      </w:r>
      <w:r w:rsidRPr="00885EFA">
        <w:rPr>
          <w:rFonts w:ascii="Garamond" w:hAnsi="Garamond" w:cs="Times New Roman"/>
          <w:color w:val="000000"/>
          <w:sz w:val="24"/>
          <w:szCs w:val="24"/>
        </w:rPr>
        <w:t xml:space="preserve"> available to governments</w:t>
      </w:r>
      <w:r w:rsidR="00796286">
        <w:rPr>
          <w:rFonts w:ascii="Garamond" w:hAnsi="Garamond" w:cs="Times New Roman"/>
          <w:color w:val="000000"/>
          <w:sz w:val="24"/>
          <w:szCs w:val="24"/>
        </w:rPr>
        <w:t xml:space="preserve"> </w:t>
      </w:r>
      <w:r w:rsidR="00796286">
        <w:rPr>
          <w:rFonts w:ascii="Garamond" w:hAnsi="Garamond" w:cs="Times New Roman"/>
          <w:color w:val="000000"/>
          <w:sz w:val="24"/>
          <w:szCs w:val="24"/>
        </w:rPr>
        <w:fldChar w:fldCharType="begin"/>
      </w:r>
      <w:r w:rsidR="00981DE8">
        <w:rPr>
          <w:rFonts w:ascii="Garamond" w:hAnsi="Garamond" w:cs="Times New Roman"/>
          <w:color w:val="000000"/>
          <w:sz w:val="24"/>
          <w:szCs w:val="24"/>
        </w:rPr>
        <w:instrText xml:space="preserve"> ADDIN ZOTERO_ITEM CSL_CITATION {"citationID":"7Z7SuWbX","properties":{"formattedCitation":"(Fl\\uc0\\u252{}ckiger, 2004)","plainCitation":"(Flückiger, 2004)","noteIndex":0},"citationItems":[{"id":3520,"uris":["http://zotero.org/users/1070015/items/ZEVGXG52"],"uri":["http://zotero.org/users/1070015/items/ZEVGXG52"],"itemData":{"id":3520,"type":"article-journal","abstract":"La loi, la décision et le contrat forment les instruments juridiques classiques de l'action étatique. Or l'Etat ne peut aujourd'hui réguler quelque politique publique que ce soit avec ces seuls instruments impératifs. Pourquoi? Les causes sont habituellement imputées à l'évolution de nos sociétés modernes: complexes, en mutation rapide, imprévisibles, fragmentées, segmentées, individualistes et atomisées tout en étant mondialisées, nos sociétés ne se laissent plus diriger de manière pyramidale, hiérarchique, autoritaire et unitaire par des lois dont le caractère obligatoire, général et abstrait s'accorde malaisément avec cette nouvelle constellation organisée autour de la figure du réseau.","container-title":"Revue de droit suisse","ISSN":"0254-945X","issue":"2","language":"fre","page":"159","source":"archive-ouverte.unige.ch","title":"Régulation, dérégulation, autorégulation : l&amp;#039;émergence des actes étatiques non obligatoires","title-short":"Régulation, dérégulation, autorégulation","volume":"123 (N.F.), Halbbd. 2","author":[{"family":"Flückiger","given":"Alexandre"}],"issued":{"date-parts":[["2004"]]}}}],"schema":"https://github.com/citation-style-language/schema/raw/master/csl-citation.json"} </w:instrText>
      </w:r>
      <w:r w:rsidR="00796286">
        <w:rPr>
          <w:rFonts w:ascii="Garamond" w:hAnsi="Garamond" w:cs="Times New Roman"/>
          <w:color w:val="000000"/>
          <w:sz w:val="24"/>
          <w:szCs w:val="24"/>
        </w:rPr>
        <w:fldChar w:fldCharType="separate"/>
      </w:r>
      <w:r w:rsidR="00981DE8" w:rsidRPr="00981DE8">
        <w:rPr>
          <w:rFonts w:ascii="Garamond" w:hAnsi="Garamond" w:cs="Times New Roman"/>
          <w:color w:val="000000"/>
          <w:sz w:val="24"/>
        </w:rPr>
        <w:t>(Flückiger, 2004)</w:t>
      </w:r>
      <w:r w:rsidR="00796286">
        <w:rPr>
          <w:rFonts w:ascii="Garamond" w:hAnsi="Garamond" w:cs="Times New Roman"/>
          <w:color w:val="000000"/>
          <w:sz w:val="24"/>
          <w:szCs w:val="24"/>
        </w:rPr>
        <w:fldChar w:fldCharType="end"/>
      </w:r>
      <w:r w:rsidR="00981DE8">
        <w:rPr>
          <w:rFonts w:ascii="Garamond" w:hAnsi="Garamond" w:cs="Times New Roman"/>
          <w:color w:val="000000"/>
          <w:sz w:val="24"/>
          <w:szCs w:val="24"/>
        </w:rPr>
        <w:t xml:space="preserve"> </w:t>
      </w:r>
      <w:r w:rsidRPr="00885EFA">
        <w:rPr>
          <w:rFonts w:ascii="Garamond" w:hAnsi="Garamond" w:cs="Times New Roman"/>
          <w:color w:val="000000"/>
          <w:sz w:val="24"/>
          <w:szCs w:val="24"/>
        </w:rPr>
        <w:t>is f</w:t>
      </w:r>
      <w:r w:rsidRPr="00885EFA">
        <w:rPr>
          <w:rStyle w:val="apple-style-span"/>
          <w:rFonts w:ascii="Garamond" w:hAnsi="Garamond" w:cs="Times New Roman"/>
          <w:color w:val="000000"/>
          <w:sz w:val="24"/>
          <w:szCs w:val="24"/>
        </w:rPr>
        <w:t>ormally authorised legislation</w:t>
      </w:r>
      <w:r w:rsidR="00E63922">
        <w:rPr>
          <w:rStyle w:val="apple-style-span"/>
          <w:rFonts w:ascii="Garamond" w:hAnsi="Garamond" w:cs="Times New Roman"/>
          <w:color w:val="000000"/>
          <w:sz w:val="24"/>
          <w:szCs w:val="24"/>
        </w:rPr>
        <w:t xml:space="preserve"> </w:t>
      </w:r>
      <w:r w:rsidR="00E61887">
        <w:rPr>
          <w:rStyle w:val="apple-style-span"/>
          <w:rFonts w:ascii="Garamond" w:hAnsi="Garamond" w:cs="Times New Roman"/>
          <w:color w:val="000000"/>
          <w:sz w:val="24"/>
          <w:szCs w:val="24"/>
        </w:rPr>
        <w:fldChar w:fldCharType="begin"/>
      </w:r>
      <w:r w:rsidR="00E61887">
        <w:rPr>
          <w:rStyle w:val="apple-style-span"/>
          <w:rFonts w:ascii="Garamond" w:hAnsi="Garamond" w:cs="Times New Roman"/>
          <w:color w:val="000000"/>
          <w:sz w:val="24"/>
          <w:szCs w:val="24"/>
        </w:rPr>
        <w:instrText xml:space="preserve"> ADDIN ZOTERO_ITEM CSL_CITATION {"citationID":"ThUKRz8I","properties":{"formattedCitation":"(Blank, 2010)","plainCitation":"(Blank, 2010)","noteIndex":0},"citationItems":[{"id":3523,"uris":["http://zotero.org/users/1070015/items/YC2ZQJ8U"],"uri":["http://zotero.org/users/1070015/items/YC2ZQJ8U"],"itemData":{"id":3523,"type":"article-journal","container-title":"Cornell Law Review","issue":"4","page":"633-670","title":"The Reenchantment of law","volume":"96","author":[{"family":"Blank","given":"Yishai"}],"issued":{"date-parts":[["2010"]]}}}],"schema":"https://github.com/citation-style-language/schema/raw/master/csl-citation.json"} </w:instrText>
      </w:r>
      <w:r w:rsidR="00E61887">
        <w:rPr>
          <w:rStyle w:val="apple-style-span"/>
          <w:rFonts w:ascii="Garamond" w:hAnsi="Garamond" w:cs="Times New Roman"/>
          <w:color w:val="000000"/>
          <w:sz w:val="24"/>
          <w:szCs w:val="24"/>
        </w:rPr>
        <w:fldChar w:fldCharType="separate"/>
      </w:r>
      <w:r w:rsidR="00E61887">
        <w:rPr>
          <w:rStyle w:val="apple-style-span"/>
          <w:rFonts w:ascii="Garamond" w:hAnsi="Garamond" w:cs="Times New Roman"/>
          <w:noProof/>
          <w:color w:val="000000"/>
          <w:sz w:val="24"/>
          <w:szCs w:val="24"/>
        </w:rPr>
        <w:t>(Blank, 2010)</w:t>
      </w:r>
      <w:r w:rsidR="00E61887">
        <w:rPr>
          <w:rStyle w:val="apple-style-span"/>
          <w:rFonts w:ascii="Garamond" w:hAnsi="Garamond" w:cs="Times New Roman"/>
          <w:color w:val="000000"/>
          <w:sz w:val="24"/>
          <w:szCs w:val="24"/>
        </w:rPr>
        <w:fldChar w:fldCharType="end"/>
      </w:r>
      <w:r w:rsidRPr="00885EFA">
        <w:rPr>
          <w:rStyle w:val="apple-style-span"/>
          <w:rFonts w:ascii="Garamond" w:hAnsi="Garamond" w:cs="Times New Roman"/>
          <w:color w:val="000000"/>
          <w:sz w:val="24"/>
          <w:szCs w:val="24"/>
        </w:rPr>
        <w:t xml:space="preserve">. Legislation </w:t>
      </w:r>
      <w:r w:rsidR="00D5612D" w:rsidRPr="00885EFA">
        <w:rPr>
          <w:rStyle w:val="apple-style-span"/>
          <w:rFonts w:ascii="Garamond" w:hAnsi="Garamond" w:cs="Times New Roman"/>
          <w:color w:val="000000"/>
          <w:sz w:val="24"/>
          <w:szCs w:val="24"/>
        </w:rPr>
        <w:t>serves as one of the many media available to regulators. It is a regulatory solution of last resort</w:t>
      </w:r>
      <w:r w:rsidR="008D3C98">
        <w:rPr>
          <w:rStyle w:val="apple-style-span"/>
          <w:rFonts w:ascii="Garamond" w:hAnsi="Garamond" w:cs="Times New Roman"/>
          <w:color w:val="000000"/>
          <w:sz w:val="24"/>
          <w:szCs w:val="24"/>
        </w:rPr>
        <w:t xml:space="preserve"> </w:t>
      </w:r>
      <w:r w:rsidR="008D3C98">
        <w:rPr>
          <w:rStyle w:val="apple-style-span"/>
          <w:rFonts w:ascii="Garamond" w:hAnsi="Garamond" w:cs="Times New Roman"/>
          <w:color w:val="000000"/>
          <w:sz w:val="24"/>
          <w:szCs w:val="24"/>
        </w:rPr>
        <w:fldChar w:fldCharType="begin"/>
      </w:r>
      <w:r w:rsidR="00CC54A8">
        <w:rPr>
          <w:rStyle w:val="apple-style-span"/>
          <w:rFonts w:ascii="Garamond" w:hAnsi="Garamond" w:cs="Times New Roman"/>
          <w:color w:val="000000"/>
          <w:sz w:val="24"/>
          <w:szCs w:val="24"/>
        </w:rPr>
        <w:instrText xml:space="preserve"> ADDIN ZOTERO_ITEM CSL_CITATION {"citationID":"ceOnSllk","properties":{"formattedCitation":"(Weatherhill, 2007)","plainCitation":"(Weatherhill, 2007)","noteIndex":0},"citationItems":[{"id":3525,"uris":["http://zotero.org/users/1070015/items/U773LYZG"],"uri":["http://zotero.org/users/1070015/items/U773LYZG"],"itemData":{"id":3525,"type":"chapter","abstract":"This collection will foster greater understanding of UK and EU regulation, the accountability issues involved, and problems of enforcement.","container-title":"Better Regulation","event-place":"Oxford; Portland, Or","language":"en","page":"1","publisher":"Hart Publishing","publisher-place":"Oxford; Portland, Or","title":"The Challenge of Better Regulation","URL":"https://www.bloomsburyprofessional.com/uk/better-regulation-9781847313676/","author":[{"family":"Weatherhill","given":""}],"accessed":{"date-parts":[["2020",9,4]]},"issued":{"date-parts":[["2007"]]}}}],"schema":"https://github.com/citation-style-language/schema/raw/master/csl-citation.json"} </w:instrText>
      </w:r>
      <w:r w:rsidR="008D3C98">
        <w:rPr>
          <w:rStyle w:val="apple-style-span"/>
          <w:rFonts w:ascii="Garamond" w:hAnsi="Garamond" w:cs="Times New Roman"/>
          <w:color w:val="000000"/>
          <w:sz w:val="24"/>
          <w:szCs w:val="24"/>
        </w:rPr>
        <w:fldChar w:fldCharType="separate"/>
      </w:r>
      <w:r w:rsidR="00CC54A8">
        <w:rPr>
          <w:rStyle w:val="apple-style-span"/>
          <w:rFonts w:ascii="Garamond" w:hAnsi="Garamond" w:cs="Times New Roman"/>
          <w:noProof/>
          <w:color w:val="000000"/>
          <w:sz w:val="24"/>
          <w:szCs w:val="24"/>
        </w:rPr>
        <w:t>(Weatherhill, 2007)</w:t>
      </w:r>
      <w:r w:rsidR="008D3C98">
        <w:rPr>
          <w:rStyle w:val="apple-style-span"/>
          <w:rFonts w:ascii="Garamond" w:hAnsi="Garamond" w:cs="Times New Roman"/>
          <w:color w:val="000000"/>
          <w:sz w:val="24"/>
          <w:szCs w:val="24"/>
        </w:rPr>
        <w:fldChar w:fldCharType="end"/>
      </w:r>
      <w:r w:rsidRPr="00885EFA">
        <w:rPr>
          <w:rStyle w:val="apple-style-span"/>
          <w:rFonts w:ascii="Garamond" w:hAnsi="Garamond" w:cs="Times New Roman"/>
          <w:color w:val="000000"/>
          <w:sz w:val="24"/>
          <w:szCs w:val="24"/>
        </w:rPr>
        <w:t>.</w:t>
      </w:r>
      <w:r w:rsidR="00D5612D" w:rsidRPr="00885EFA">
        <w:rPr>
          <w:rStyle w:val="apple-style-span"/>
          <w:rFonts w:ascii="Garamond" w:hAnsi="Garamond" w:cs="Times New Roman"/>
          <w:color w:val="000000"/>
          <w:sz w:val="24"/>
          <w:szCs w:val="24"/>
        </w:rPr>
        <w:t xml:space="preserve"> In order to convey the regulatory message to legislative users, who are expected to alter their behaviour accordingly, le</w:t>
      </w:r>
      <w:r w:rsidR="007D744F" w:rsidRPr="00885EFA">
        <w:rPr>
          <w:rFonts w:ascii="Garamond" w:eastAsia="Arial" w:hAnsi="Garamond" w:cs="Times New Roman"/>
          <w:color w:val="000000"/>
          <w:sz w:val="24"/>
          <w:szCs w:val="24"/>
        </w:rPr>
        <w:t xml:space="preserve">gislation </w:t>
      </w:r>
      <w:r w:rsidR="00AE35D5" w:rsidRPr="00885EFA">
        <w:rPr>
          <w:rFonts w:ascii="Garamond" w:eastAsia="Arial" w:hAnsi="Garamond" w:cs="Times New Roman"/>
          <w:color w:val="000000"/>
          <w:sz w:val="24"/>
          <w:szCs w:val="24"/>
        </w:rPr>
        <w:t xml:space="preserve">must use the language of lay users as a means of explaining clearly how their behaviour is expected to change and </w:t>
      </w:r>
      <w:r w:rsidR="007D744F" w:rsidRPr="00885EFA">
        <w:rPr>
          <w:rFonts w:ascii="Garamond" w:eastAsia="Arial" w:hAnsi="Garamond" w:cs="Times New Roman"/>
          <w:color w:val="000000"/>
          <w:sz w:val="24"/>
          <w:szCs w:val="24"/>
        </w:rPr>
        <w:t xml:space="preserve">how </w:t>
      </w:r>
      <w:r w:rsidR="00AE35D5" w:rsidRPr="00885EFA">
        <w:rPr>
          <w:rFonts w:ascii="Garamond" w:eastAsia="Arial" w:hAnsi="Garamond" w:cs="Times New Roman"/>
          <w:color w:val="000000"/>
          <w:sz w:val="24"/>
          <w:szCs w:val="24"/>
        </w:rPr>
        <w:t xml:space="preserve">law reform is to come about. Communicating these messages </w:t>
      </w:r>
      <w:r w:rsidR="00D5612D" w:rsidRPr="00885EFA">
        <w:rPr>
          <w:rFonts w:ascii="Garamond" w:eastAsia="Arial" w:hAnsi="Garamond" w:cs="Times New Roman"/>
          <w:color w:val="000000"/>
          <w:sz w:val="24"/>
          <w:szCs w:val="24"/>
        </w:rPr>
        <w:t xml:space="preserve">to the legislative audience as </w:t>
      </w:r>
      <w:r w:rsidR="00AE35D5" w:rsidRPr="00885EFA">
        <w:rPr>
          <w:rFonts w:ascii="Garamond" w:eastAsia="Arial" w:hAnsi="Garamond" w:cs="Times New Roman"/>
          <w:color w:val="000000"/>
          <w:sz w:val="24"/>
          <w:szCs w:val="24"/>
        </w:rPr>
        <w:t>clearly</w:t>
      </w:r>
      <w:r w:rsidR="00D5612D" w:rsidRPr="00885EFA">
        <w:rPr>
          <w:rFonts w:ascii="Garamond" w:eastAsia="Arial" w:hAnsi="Garamond" w:cs="Times New Roman"/>
          <w:color w:val="000000"/>
          <w:sz w:val="24"/>
          <w:szCs w:val="24"/>
        </w:rPr>
        <w:t xml:space="preserve"> as possible remains t</w:t>
      </w:r>
      <w:r w:rsidR="00AE35D5" w:rsidRPr="00885EFA">
        <w:rPr>
          <w:rFonts w:ascii="Garamond" w:eastAsia="Arial" w:hAnsi="Garamond" w:cs="Times New Roman"/>
          <w:color w:val="000000"/>
          <w:sz w:val="24"/>
          <w:szCs w:val="24"/>
        </w:rPr>
        <w:t xml:space="preserve">he </w:t>
      </w:r>
      <w:r w:rsidR="00D5612D" w:rsidRPr="00885EFA">
        <w:rPr>
          <w:rFonts w:ascii="Garamond" w:eastAsia="Arial" w:hAnsi="Garamond" w:cs="Times New Roman"/>
          <w:color w:val="000000"/>
          <w:sz w:val="24"/>
          <w:szCs w:val="24"/>
        </w:rPr>
        <w:t xml:space="preserve">best </w:t>
      </w:r>
      <w:r w:rsidR="00AE35D5" w:rsidRPr="00885EFA">
        <w:rPr>
          <w:rFonts w:ascii="Garamond" w:eastAsia="Arial" w:hAnsi="Garamond" w:cs="Times New Roman"/>
          <w:color w:val="000000"/>
          <w:sz w:val="24"/>
          <w:szCs w:val="24"/>
        </w:rPr>
        <w:t>way in which the legislation can, with the synergy of the other actors of the policy process</w:t>
      </w:r>
      <w:r w:rsidR="00A54400">
        <w:rPr>
          <w:rFonts w:ascii="Garamond" w:eastAsia="Arial" w:hAnsi="Garamond" w:cs="Times New Roman"/>
          <w:color w:val="000000"/>
          <w:sz w:val="24"/>
          <w:szCs w:val="24"/>
        </w:rPr>
        <w:t xml:space="preserve"> </w:t>
      </w:r>
      <w:r w:rsidR="00A54400">
        <w:rPr>
          <w:rFonts w:ascii="Garamond" w:eastAsia="Arial" w:hAnsi="Garamond" w:cs="Times New Roman"/>
          <w:color w:val="000000"/>
          <w:sz w:val="24"/>
          <w:szCs w:val="24"/>
        </w:rPr>
        <w:fldChar w:fldCharType="begin"/>
      </w:r>
      <w:r w:rsidR="003C5742">
        <w:rPr>
          <w:rFonts w:ascii="Garamond" w:eastAsia="Arial" w:hAnsi="Garamond" w:cs="Times New Roman"/>
          <w:color w:val="000000"/>
          <w:sz w:val="24"/>
          <w:szCs w:val="24"/>
        </w:rPr>
        <w:instrText xml:space="preserve"> ADDIN ZOTERO_ITEM CSL_CITATION {"citationID":"3W97arcm","properties":{"formattedCitation":"(Chamberlain, 1931)","plainCitation":"(Chamberlain, 1931)","noteIndex":0},"citationItems":[{"id":3527,"uris":["http://zotero.org/users/1070015/items/JQ2Z9P6K"],"uri":["http://zotero.org/users/1070015/items/JQ2Z9P6K"],"itemData":{"id":3527,"type":"article-journal","container-title":"American Labor Legislation Review","page":"235-243","title":"Legislative drafting and law enforcement","volume":"21","author":[{"family":"Chamberlain","given":"J"}],"issued":{"date-parts":[["1931"]]}}}],"schema":"https://github.com/citation-style-language/schema/raw/master/csl-citation.json"} </w:instrText>
      </w:r>
      <w:r w:rsidR="00A54400">
        <w:rPr>
          <w:rFonts w:ascii="Garamond" w:eastAsia="Arial" w:hAnsi="Garamond" w:cs="Times New Roman"/>
          <w:color w:val="000000"/>
          <w:sz w:val="24"/>
          <w:szCs w:val="24"/>
        </w:rPr>
        <w:fldChar w:fldCharType="separate"/>
      </w:r>
      <w:r w:rsidR="003C5742">
        <w:rPr>
          <w:rFonts w:ascii="Garamond" w:eastAsia="Arial" w:hAnsi="Garamond" w:cs="Times New Roman"/>
          <w:noProof/>
          <w:color w:val="000000"/>
          <w:sz w:val="24"/>
          <w:szCs w:val="24"/>
        </w:rPr>
        <w:t>(Chamberlain, 1931)</w:t>
      </w:r>
      <w:r w:rsidR="00A54400">
        <w:rPr>
          <w:rFonts w:ascii="Garamond" w:eastAsia="Arial" w:hAnsi="Garamond" w:cs="Times New Roman"/>
          <w:color w:val="000000"/>
          <w:sz w:val="24"/>
          <w:szCs w:val="24"/>
        </w:rPr>
        <w:fldChar w:fldCharType="end"/>
      </w:r>
      <w:r w:rsidR="00AE35D5" w:rsidRPr="00885EFA">
        <w:rPr>
          <w:rFonts w:ascii="Garamond" w:eastAsia="Arial" w:hAnsi="Garamond" w:cs="Times New Roman"/>
          <w:color w:val="000000"/>
          <w:sz w:val="24"/>
          <w:szCs w:val="24"/>
        </w:rPr>
        <w:t xml:space="preserve">, achieve the </w:t>
      </w:r>
      <w:r w:rsidR="00D5612D" w:rsidRPr="00885EFA">
        <w:rPr>
          <w:rFonts w:ascii="Garamond" w:eastAsia="Arial" w:hAnsi="Garamond" w:cs="Times New Roman"/>
          <w:color w:val="000000"/>
          <w:sz w:val="24"/>
          <w:szCs w:val="24"/>
        </w:rPr>
        <w:t xml:space="preserve">desired </w:t>
      </w:r>
      <w:r w:rsidR="00AE35D5" w:rsidRPr="00885EFA">
        <w:rPr>
          <w:rFonts w:ascii="Garamond" w:eastAsia="Arial" w:hAnsi="Garamond" w:cs="Times New Roman"/>
          <w:color w:val="000000"/>
          <w:sz w:val="24"/>
          <w:szCs w:val="24"/>
        </w:rPr>
        <w:t>regulatory results</w:t>
      </w:r>
      <w:r w:rsidR="0067372C">
        <w:rPr>
          <w:rFonts w:ascii="Garamond" w:eastAsia="Arial" w:hAnsi="Garamond" w:cs="Times New Roman"/>
          <w:color w:val="000000"/>
          <w:sz w:val="24"/>
          <w:szCs w:val="24"/>
        </w:rPr>
        <w:t xml:space="preserve"> </w:t>
      </w:r>
      <w:r w:rsidR="0067372C">
        <w:rPr>
          <w:rFonts w:ascii="Garamond" w:eastAsia="Arial" w:hAnsi="Garamond" w:cs="Times New Roman"/>
          <w:color w:val="000000"/>
          <w:sz w:val="24"/>
          <w:szCs w:val="24"/>
        </w:rPr>
        <w:fldChar w:fldCharType="begin"/>
      </w:r>
      <w:r w:rsidR="001A72C7">
        <w:rPr>
          <w:rFonts w:ascii="Garamond" w:eastAsia="Arial" w:hAnsi="Garamond" w:cs="Times New Roman"/>
          <w:color w:val="000000"/>
          <w:sz w:val="24"/>
          <w:szCs w:val="24"/>
        </w:rPr>
        <w:instrText xml:space="preserve"> ADDIN ZOTERO_ITEM CSL_CITATION {"citationID":"lSUpIDDt","properties":{"formattedCitation":"(Mader, 2001)","plainCitation":"(Mader, 2001)","noteIndex":0},"citationItems":[{"id":3528,"uris":["http://zotero.org/users/1070015/items/9EMZ7V32"],"uri":["http://zotero.org/users/1070015/items/9EMZ7V32"],"itemData":{"id":3528,"type":"article-journal","abstract":"1Federal Office of Justice, Berne 2The Institut de hautes études en administration publique (IDHEAP), Lausanne","container-title":"Statute Law Review","DOI":"10.1093/slr/22.2.119","ISSN":"0144-3593","issue":"2","journalAbbreviation":"Statute Law Rev","language":"en","note":"publisher: Oxford Academic","page":"119-131","source":"academic.oup.com","title":"Evaluating the Effects: A Contribution to the Quality of Legislation","title-short":"Evaluating the Effects","volume":"22","author":[{"family":"Mader","given":"Luzius"}],"issued":{"date-parts":[["2001",1,1]]}}}],"schema":"https://github.com/citation-style-language/schema/raw/master/csl-citation.json"} </w:instrText>
      </w:r>
      <w:r w:rsidR="0067372C">
        <w:rPr>
          <w:rFonts w:ascii="Garamond" w:eastAsia="Arial" w:hAnsi="Garamond" w:cs="Times New Roman"/>
          <w:color w:val="000000"/>
          <w:sz w:val="24"/>
          <w:szCs w:val="24"/>
        </w:rPr>
        <w:fldChar w:fldCharType="separate"/>
      </w:r>
      <w:r w:rsidR="001A72C7">
        <w:rPr>
          <w:rFonts w:ascii="Garamond" w:eastAsia="Arial" w:hAnsi="Garamond" w:cs="Times New Roman"/>
          <w:noProof/>
          <w:color w:val="000000"/>
          <w:sz w:val="24"/>
          <w:szCs w:val="24"/>
        </w:rPr>
        <w:t>(Mader, 2001)</w:t>
      </w:r>
      <w:r w:rsidR="0067372C">
        <w:rPr>
          <w:rFonts w:ascii="Garamond" w:eastAsia="Arial" w:hAnsi="Garamond" w:cs="Times New Roman"/>
          <w:color w:val="000000"/>
          <w:sz w:val="24"/>
          <w:szCs w:val="24"/>
        </w:rPr>
        <w:fldChar w:fldCharType="end"/>
      </w:r>
      <w:r w:rsidR="00AE35D5" w:rsidRPr="00885EFA">
        <w:rPr>
          <w:rFonts w:ascii="Garamond" w:eastAsia="Arial" w:hAnsi="Garamond" w:cs="Times New Roman"/>
          <w:color w:val="000000"/>
          <w:sz w:val="24"/>
          <w:szCs w:val="24"/>
        </w:rPr>
        <w:t xml:space="preserve">. </w:t>
      </w:r>
      <w:r w:rsidR="007D744F" w:rsidRPr="00885EFA">
        <w:rPr>
          <w:rFonts w:ascii="Garamond" w:eastAsia="Arial" w:hAnsi="Garamond" w:cs="Times New Roman"/>
          <w:color w:val="000000"/>
          <w:sz w:val="24"/>
          <w:szCs w:val="24"/>
        </w:rPr>
        <w:t xml:space="preserve">In that context, drafters strive to contribute to regulatory efficacy by </w:t>
      </w:r>
      <w:r w:rsidR="00D5612D" w:rsidRPr="00885EFA">
        <w:rPr>
          <w:rFonts w:ascii="Garamond" w:eastAsia="Arial" w:hAnsi="Garamond" w:cs="Times New Roman"/>
          <w:color w:val="000000"/>
          <w:sz w:val="24"/>
          <w:szCs w:val="24"/>
        </w:rPr>
        <w:t xml:space="preserve">producing an effective </w:t>
      </w:r>
      <w:r w:rsidR="007D744F" w:rsidRPr="00885EFA">
        <w:rPr>
          <w:rFonts w:ascii="Garamond" w:eastAsia="Arial" w:hAnsi="Garamond" w:cs="Times New Roman"/>
          <w:color w:val="000000"/>
          <w:sz w:val="24"/>
          <w:szCs w:val="24"/>
        </w:rPr>
        <w:t>legislative text</w:t>
      </w:r>
      <w:r w:rsidR="00D5612D" w:rsidRPr="00885EFA">
        <w:rPr>
          <w:rFonts w:ascii="Garamond" w:eastAsia="Arial" w:hAnsi="Garamond" w:cs="Times New Roman"/>
          <w:color w:val="000000"/>
          <w:sz w:val="24"/>
          <w:szCs w:val="24"/>
        </w:rPr>
        <w:t>, as per the diagram below</w:t>
      </w:r>
      <w:r w:rsidR="008846FA">
        <w:rPr>
          <w:rFonts w:ascii="Garamond" w:eastAsia="Arial" w:hAnsi="Garamond" w:cs="Times New Roman"/>
          <w:color w:val="000000"/>
          <w:sz w:val="24"/>
          <w:szCs w:val="24"/>
        </w:rPr>
        <w:t>.</w:t>
      </w:r>
      <w:r w:rsidR="00AE35D5" w:rsidRPr="00885EFA">
        <w:rPr>
          <w:rStyle w:val="FootnoteReference"/>
          <w:rFonts w:ascii="Garamond" w:hAnsi="Garamond"/>
          <w:sz w:val="24"/>
          <w:szCs w:val="24"/>
        </w:rPr>
        <w:footnoteReference w:id="3"/>
      </w:r>
    </w:p>
    <w:p w14:paraId="027B85D0" w14:textId="77777777" w:rsidR="008846FA" w:rsidRDefault="008846FA" w:rsidP="00885EFA">
      <w:pPr>
        <w:spacing w:line="480" w:lineRule="auto"/>
        <w:contextualSpacing/>
        <w:jc w:val="both"/>
        <w:rPr>
          <w:rFonts w:ascii="Times New Roman" w:eastAsia="Arial" w:hAnsi="Times New Roman" w:cs="Times New Roman"/>
          <w:color w:val="000000"/>
          <w:sz w:val="24"/>
          <w:szCs w:val="24"/>
        </w:rPr>
      </w:pPr>
    </w:p>
    <w:p w14:paraId="2E17A820" w14:textId="14DAB2D0" w:rsidR="00AE35D5" w:rsidRPr="007D4233" w:rsidRDefault="00AE35D5" w:rsidP="005D18E8">
      <w:pPr>
        <w:spacing w:line="480" w:lineRule="auto"/>
        <w:contextualSpacing/>
        <w:jc w:val="both"/>
        <w:rPr>
          <w:rFonts w:ascii="Times New Roman" w:eastAsia="Arial" w:hAnsi="Times New Roman" w:cs="Times New Roman"/>
          <w:color w:val="000000"/>
          <w:sz w:val="24"/>
          <w:szCs w:val="24"/>
        </w:rPr>
      </w:pPr>
    </w:p>
    <w:p w14:paraId="5C99AC6A" w14:textId="7D42D47E" w:rsidR="00AE35D5" w:rsidRPr="007D4233" w:rsidRDefault="00271A55" w:rsidP="00AE35D5">
      <w:pPr>
        <w:spacing w:after="205" w:line="480" w:lineRule="auto"/>
        <w:ind w:left="-5" w:right="35" w:hanging="10"/>
        <w:jc w:val="both"/>
        <w:rPr>
          <w:rFonts w:ascii="Times New Roman" w:eastAsia="Arial" w:hAnsi="Times New Roman" w:cs="Times New Roman"/>
          <w:color w:val="000000"/>
          <w:sz w:val="24"/>
          <w:szCs w:val="24"/>
        </w:rPr>
      </w:pPr>
      <w:r w:rsidRPr="007D4233">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07DEE35B" wp14:editId="628790D9">
            <wp:simplePos x="0" y="0"/>
            <wp:positionH relativeFrom="margin">
              <wp:posOffset>0</wp:posOffset>
            </wp:positionH>
            <wp:positionV relativeFrom="paragraph">
              <wp:posOffset>12700</wp:posOffset>
            </wp:positionV>
            <wp:extent cx="5133975" cy="2080260"/>
            <wp:effectExtent l="0" t="0" r="28575" b="15240"/>
            <wp:wrapNone/>
            <wp:docPr id="2" name="Diagram 2" descr="The diagram is in the shape of a pyramid with four levels. The bottom level is labelled 'Easified language, Gender inclusive language'. The second level up is labelled 'Clarity, Precision, Unambiguity'. The third level up is labelled 'Legislative effectiveness' with 'Cost efficiency' in square brackets underneath. The pointed top level of the pyramid is labelled 'Regulatory efficac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E7841B7" w14:textId="77777777" w:rsidR="00AE35D5" w:rsidRPr="007D4233" w:rsidRDefault="00AE35D5" w:rsidP="00AE35D5">
      <w:pPr>
        <w:spacing w:after="205" w:line="480" w:lineRule="auto"/>
        <w:ind w:left="-5" w:right="35" w:hanging="10"/>
        <w:jc w:val="both"/>
        <w:rPr>
          <w:rFonts w:ascii="Times New Roman" w:eastAsia="Arial" w:hAnsi="Times New Roman" w:cs="Times New Roman"/>
          <w:color w:val="000000"/>
          <w:sz w:val="24"/>
          <w:szCs w:val="24"/>
        </w:rPr>
      </w:pPr>
    </w:p>
    <w:p w14:paraId="367DCFD7" w14:textId="77777777" w:rsidR="00AE35D5" w:rsidRPr="007D4233" w:rsidRDefault="00AE35D5" w:rsidP="00AE35D5">
      <w:pPr>
        <w:spacing w:after="205" w:line="480" w:lineRule="auto"/>
        <w:ind w:left="-5" w:right="35" w:hanging="10"/>
        <w:jc w:val="both"/>
        <w:rPr>
          <w:rFonts w:ascii="Times New Roman" w:eastAsia="Arial" w:hAnsi="Times New Roman" w:cs="Times New Roman"/>
          <w:color w:val="000000"/>
          <w:sz w:val="24"/>
          <w:szCs w:val="24"/>
        </w:rPr>
      </w:pPr>
    </w:p>
    <w:p w14:paraId="139B3417" w14:textId="77777777" w:rsidR="00AE35D5" w:rsidRPr="007D4233" w:rsidRDefault="00AE35D5" w:rsidP="00AE35D5">
      <w:pPr>
        <w:spacing w:after="205" w:line="480" w:lineRule="auto"/>
        <w:ind w:left="-5" w:right="35" w:hanging="10"/>
        <w:jc w:val="both"/>
        <w:rPr>
          <w:rFonts w:ascii="Times New Roman" w:eastAsia="Arial" w:hAnsi="Times New Roman" w:cs="Times New Roman"/>
          <w:color w:val="000000"/>
          <w:sz w:val="24"/>
          <w:szCs w:val="24"/>
        </w:rPr>
      </w:pPr>
    </w:p>
    <w:p w14:paraId="082DF0E0" w14:textId="77777777" w:rsidR="00376EB0" w:rsidRDefault="00376EB0" w:rsidP="00AE35D5">
      <w:pPr>
        <w:spacing w:before="100" w:beforeAutospacing="1" w:after="100" w:afterAutospacing="1" w:line="480" w:lineRule="auto"/>
        <w:jc w:val="both"/>
        <w:rPr>
          <w:rFonts w:ascii="Times New Roman" w:hAnsi="Times New Roman" w:cs="Times New Roman"/>
          <w:color w:val="000000" w:themeColor="text1"/>
          <w:sz w:val="24"/>
          <w:szCs w:val="24"/>
        </w:rPr>
      </w:pPr>
    </w:p>
    <w:p w14:paraId="442A06AF" w14:textId="492979B5" w:rsidR="00AE35D5" w:rsidRPr="00885EFA" w:rsidRDefault="009108F0" w:rsidP="00A844FC">
      <w:pPr>
        <w:spacing w:before="100" w:beforeAutospacing="1" w:after="100" w:afterAutospacing="1" w:line="480" w:lineRule="auto"/>
        <w:rPr>
          <w:rFonts w:ascii="Garamond" w:hAnsi="Garamond" w:cs="Times New Roman"/>
          <w:color w:val="000000" w:themeColor="text1"/>
          <w:sz w:val="24"/>
          <w:szCs w:val="24"/>
        </w:rPr>
      </w:pPr>
      <w:r w:rsidRPr="00885EFA">
        <w:rPr>
          <w:rFonts w:ascii="Garamond" w:hAnsi="Garamond" w:cs="Times New Roman"/>
          <w:color w:val="000000" w:themeColor="text1"/>
          <w:sz w:val="24"/>
          <w:szCs w:val="24"/>
        </w:rPr>
        <w:t>R</w:t>
      </w:r>
      <w:r w:rsidR="00AE35D5" w:rsidRPr="00885EFA">
        <w:rPr>
          <w:rFonts w:ascii="Garamond" w:hAnsi="Garamond" w:cs="Times New Roman"/>
          <w:color w:val="000000" w:themeColor="text1"/>
          <w:sz w:val="24"/>
          <w:szCs w:val="24"/>
        </w:rPr>
        <w:t>egulatory efficacy</w:t>
      </w:r>
      <w:r w:rsidRPr="00885EFA">
        <w:rPr>
          <w:rFonts w:ascii="Garamond" w:hAnsi="Garamond" w:cs="Times New Roman"/>
          <w:color w:val="000000" w:themeColor="text1"/>
          <w:sz w:val="24"/>
          <w:szCs w:val="24"/>
        </w:rPr>
        <w:t xml:space="preserve"> </w:t>
      </w:r>
      <w:r w:rsidR="00AE35D5" w:rsidRPr="00885EFA">
        <w:rPr>
          <w:rFonts w:ascii="Garamond" w:hAnsi="Garamond" w:cs="Times New Roman"/>
          <w:color w:val="000000" w:themeColor="text1"/>
          <w:sz w:val="24"/>
          <w:szCs w:val="24"/>
        </w:rPr>
        <w:t xml:space="preserve">is the extent to which regulators </w:t>
      </w:r>
      <w:r w:rsidRPr="00885EFA">
        <w:rPr>
          <w:rFonts w:ascii="Garamond" w:hAnsi="Garamond" w:cs="Times New Roman"/>
          <w:color w:val="000000" w:themeColor="text1"/>
          <w:sz w:val="24"/>
          <w:szCs w:val="24"/>
        </w:rPr>
        <w:t xml:space="preserve">actually </w:t>
      </w:r>
      <w:r w:rsidR="00AE35D5" w:rsidRPr="00885EFA">
        <w:rPr>
          <w:rFonts w:ascii="Garamond" w:hAnsi="Garamond" w:cs="Times New Roman"/>
          <w:color w:val="000000" w:themeColor="text1"/>
          <w:sz w:val="24"/>
          <w:szCs w:val="24"/>
        </w:rPr>
        <w:t>achieve the</w:t>
      </w:r>
      <w:r w:rsidRPr="00885EFA">
        <w:rPr>
          <w:rFonts w:ascii="Garamond" w:hAnsi="Garamond" w:cs="Times New Roman"/>
          <w:color w:val="000000" w:themeColor="text1"/>
          <w:sz w:val="24"/>
          <w:szCs w:val="24"/>
        </w:rPr>
        <w:t xml:space="preserve"> desired regulatory results</w:t>
      </w:r>
      <w:r w:rsidR="00CF5BF6">
        <w:rPr>
          <w:rFonts w:ascii="Garamond" w:hAnsi="Garamond" w:cs="Times New Roman"/>
          <w:color w:val="000000" w:themeColor="text1"/>
          <w:sz w:val="24"/>
          <w:szCs w:val="24"/>
        </w:rPr>
        <w:t xml:space="preserve"> (see </w:t>
      </w:r>
      <w:proofErr w:type="spellStart"/>
      <w:r w:rsidR="00CF5BF6">
        <w:rPr>
          <w:rFonts w:ascii="Garamond" w:hAnsi="Garamond" w:cs="Times New Roman"/>
          <w:color w:val="000000" w:themeColor="text1"/>
          <w:sz w:val="24"/>
          <w:szCs w:val="24"/>
        </w:rPr>
        <w:t>Xanthaki</w:t>
      </w:r>
      <w:proofErr w:type="spellEnd"/>
      <w:r w:rsidR="00CF5BF6">
        <w:rPr>
          <w:rFonts w:ascii="Garamond" w:hAnsi="Garamond" w:cs="Times New Roman"/>
          <w:color w:val="000000" w:themeColor="text1"/>
          <w:sz w:val="24"/>
          <w:szCs w:val="24"/>
        </w:rPr>
        <w:t xml:space="preserve">, 2008; </w:t>
      </w:r>
      <w:proofErr w:type="spellStart"/>
      <w:r w:rsidR="00CF5BF6">
        <w:rPr>
          <w:rFonts w:ascii="Garamond" w:hAnsi="Garamond" w:cs="Times New Roman"/>
          <w:color w:val="000000" w:themeColor="text1"/>
          <w:sz w:val="24"/>
          <w:szCs w:val="24"/>
        </w:rPr>
        <w:t>Mousmouti</w:t>
      </w:r>
      <w:proofErr w:type="spellEnd"/>
      <w:r w:rsidR="00CF5BF6">
        <w:rPr>
          <w:rFonts w:ascii="Garamond" w:hAnsi="Garamond" w:cs="Times New Roman"/>
          <w:color w:val="000000" w:themeColor="text1"/>
          <w:sz w:val="24"/>
          <w:szCs w:val="24"/>
        </w:rPr>
        <w:t>, 2012)</w:t>
      </w:r>
      <w:r w:rsidR="00AE35D5" w:rsidRPr="00885EFA">
        <w:rPr>
          <w:rFonts w:ascii="Garamond" w:hAnsi="Garamond" w:cs="Times New Roman"/>
          <w:color w:val="000000" w:themeColor="text1"/>
          <w:sz w:val="24"/>
          <w:szCs w:val="24"/>
        </w:rPr>
        <w:t xml:space="preserve">. </w:t>
      </w:r>
      <w:r w:rsidRPr="00885EFA">
        <w:rPr>
          <w:rFonts w:ascii="Garamond" w:hAnsi="Garamond" w:cs="Times New Roman"/>
          <w:color w:val="000000" w:themeColor="text1"/>
          <w:sz w:val="24"/>
          <w:szCs w:val="24"/>
        </w:rPr>
        <w:t xml:space="preserve">This </w:t>
      </w:r>
      <w:r w:rsidR="00AE35D5" w:rsidRPr="00885EFA">
        <w:rPr>
          <w:rFonts w:ascii="Garamond" w:hAnsi="Garamond" w:cs="Times New Roman"/>
          <w:color w:val="000000" w:themeColor="text1"/>
          <w:sz w:val="24"/>
          <w:szCs w:val="24"/>
        </w:rPr>
        <w:t xml:space="preserve">is not a goal that can be achieved by the drafter </w:t>
      </w:r>
      <w:r w:rsidR="00AE35D5" w:rsidRPr="00885EFA">
        <w:rPr>
          <w:rFonts w:ascii="Garamond" w:hAnsi="Garamond" w:cs="Times New Roman"/>
          <w:color w:val="000000" w:themeColor="text1"/>
          <w:sz w:val="24"/>
          <w:szCs w:val="24"/>
        </w:rPr>
        <w:lastRenderedPageBreak/>
        <w:t>alone</w:t>
      </w:r>
      <w:r w:rsidR="00921220">
        <w:rPr>
          <w:rFonts w:ascii="Garamond" w:hAnsi="Garamond" w:cs="Times New Roman"/>
          <w:color w:val="000000" w:themeColor="text1"/>
          <w:sz w:val="24"/>
          <w:szCs w:val="24"/>
        </w:rPr>
        <w:t xml:space="preserve"> </w:t>
      </w:r>
      <w:r w:rsidR="00921220">
        <w:rPr>
          <w:rFonts w:ascii="Garamond" w:hAnsi="Garamond" w:cs="Times New Roman"/>
          <w:color w:val="000000" w:themeColor="text1"/>
          <w:sz w:val="24"/>
          <w:szCs w:val="24"/>
        </w:rPr>
        <w:fldChar w:fldCharType="begin"/>
      </w:r>
      <w:r w:rsidR="00921220">
        <w:rPr>
          <w:rFonts w:ascii="Garamond" w:hAnsi="Garamond" w:cs="Times New Roman"/>
          <w:color w:val="000000" w:themeColor="text1"/>
          <w:sz w:val="24"/>
          <w:szCs w:val="24"/>
        </w:rPr>
        <w:instrText xml:space="preserve"> ADDIN ZOTERO_ITEM CSL_CITATION {"citationID":"tLFCwduC","properties":{"formattedCitation":"(Chamberlain, 1931)","plainCitation":"(Chamberlain, 1931)","noteIndex":0},"citationItems":[{"id":3527,"uris":["http://zotero.org/users/1070015/items/JQ2Z9P6K"],"uri":["http://zotero.org/users/1070015/items/JQ2Z9P6K"],"itemData":{"id":3527,"type":"article-journal","container-title":"American Labor Legislation Review","page":"235-243","title":"Legislative drafting and law enforcement","volume":"21","author":[{"family":"Chamberlain","given":"J"}],"issued":{"date-parts":[["1931"]]}}}],"schema":"https://github.com/citation-style-language/schema/raw/master/csl-citation.json"} </w:instrText>
      </w:r>
      <w:r w:rsidR="00921220">
        <w:rPr>
          <w:rFonts w:ascii="Garamond" w:hAnsi="Garamond" w:cs="Times New Roman"/>
          <w:color w:val="000000" w:themeColor="text1"/>
          <w:sz w:val="24"/>
          <w:szCs w:val="24"/>
        </w:rPr>
        <w:fldChar w:fldCharType="separate"/>
      </w:r>
      <w:r w:rsidR="00921220">
        <w:rPr>
          <w:rFonts w:ascii="Garamond" w:hAnsi="Garamond" w:cs="Times New Roman"/>
          <w:noProof/>
          <w:color w:val="000000" w:themeColor="text1"/>
          <w:sz w:val="24"/>
          <w:szCs w:val="24"/>
        </w:rPr>
        <w:t>(Chamberlain, 1931)</w:t>
      </w:r>
      <w:r w:rsidR="00921220">
        <w:rPr>
          <w:rFonts w:ascii="Garamond" w:hAnsi="Garamond" w:cs="Times New Roman"/>
          <w:color w:val="000000" w:themeColor="text1"/>
          <w:sz w:val="24"/>
          <w:szCs w:val="24"/>
        </w:rPr>
        <w:fldChar w:fldCharType="end"/>
      </w:r>
      <w:r w:rsidR="00AE35D5" w:rsidRPr="00885EFA">
        <w:rPr>
          <w:rFonts w:ascii="Garamond" w:hAnsi="Garamond" w:cs="Times New Roman"/>
          <w:color w:val="000000" w:themeColor="text1"/>
          <w:sz w:val="24"/>
          <w:szCs w:val="24"/>
        </w:rPr>
        <w:t>: legislation requires a solid policy, appropriate and realistic policy measures for its achievement, cost</w:t>
      </w:r>
      <w:r w:rsidR="00C65754">
        <w:rPr>
          <w:rFonts w:ascii="Garamond" w:hAnsi="Garamond" w:cs="Times New Roman"/>
          <w:color w:val="000000" w:themeColor="text1"/>
          <w:sz w:val="24"/>
          <w:szCs w:val="24"/>
        </w:rPr>
        <w:t>-</w:t>
      </w:r>
      <w:r w:rsidR="00AE35D5" w:rsidRPr="00885EFA">
        <w:rPr>
          <w:rFonts w:ascii="Garamond" w:hAnsi="Garamond" w:cs="Times New Roman"/>
          <w:color w:val="000000" w:themeColor="text1"/>
          <w:sz w:val="24"/>
          <w:szCs w:val="24"/>
        </w:rPr>
        <w:t xml:space="preserve">efficient mechanisms of implementation, and ultimately user willingness to implement and judicial inclination to interpret </w:t>
      </w:r>
      <w:r w:rsidR="00AE35D5" w:rsidRPr="001B44B7">
        <w:rPr>
          <w:rFonts w:ascii="Garamond" w:hAnsi="Garamond" w:cs="Times New Roman"/>
          <w:color w:val="000000" w:themeColor="text1"/>
          <w:sz w:val="24"/>
          <w:szCs w:val="24"/>
        </w:rPr>
        <w:t>according to legislative intent</w:t>
      </w:r>
      <w:r w:rsidR="00CF5BF6">
        <w:rPr>
          <w:rFonts w:ascii="Garamond" w:hAnsi="Garamond" w:cs="Times New Roman"/>
          <w:color w:val="000000" w:themeColor="text1"/>
          <w:sz w:val="24"/>
          <w:szCs w:val="24"/>
        </w:rPr>
        <w:t xml:space="preserve"> (see Hull, 2000; </w:t>
      </w:r>
      <w:proofErr w:type="spellStart"/>
      <w:r w:rsidR="00CF5BF6">
        <w:rPr>
          <w:rFonts w:ascii="Garamond" w:hAnsi="Garamond" w:cs="Times New Roman"/>
          <w:color w:val="000000" w:themeColor="text1"/>
          <w:sz w:val="24"/>
          <w:szCs w:val="24"/>
        </w:rPr>
        <w:t>Karpen</w:t>
      </w:r>
      <w:proofErr w:type="spellEnd"/>
      <w:r w:rsidR="00CF5BF6">
        <w:rPr>
          <w:rFonts w:ascii="Garamond" w:hAnsi="Garamond" w:cs="Times New Roman"/>
          <w:color w:val="000000" w:themeColor="text1"/>
          <w:sz w:val="24"/>
          <w:szCs w:val="24"/>
        </w:rPr>
        <w:t xml:space="preserve">, 1996; </w:t>
      </w:r>
      <w:proofErr w:type="spellStart"/>
      <w:r w:rsidR="00CF5BF6">
        <w:rPr>
          <w:rFonts w:ascii="Garamond" w:hAnsi="Garamond" w:cs="Times New Roman"/>
          <w:color w:val="000000" w:themeColor="text1"/>
          <w:sz w:val="24"/>
          <w:szCs w:val="24"/>
        </w:rPr>
        <w:t>Mader</w:t>
      </w:r>
      <w:proofErr w:type="spellEnd"/>
      <w:r w:rsidR="00CF5BF6">
        <w:rPr>
          <w:rFonts w:ascii="Garamond" w:hAnsi="Garamond" w:cs="Times New Roman"/>
          <w:color w:val="000000" w:themeColor="text1"/>
          <w:sz w:val="24"/>
          <w:szCs w:val="24"/>
        </w:rPr>
        <w:t xml:space="preserve"> 1996)</w:t>
      </w:r>
      <w:r w:rsidR="00AE35D5" w:rsidRPr="001B44B7">
        <w:rPr>
          <w:rFonts w:ascii="Garamond" w:hAnsi="Garamond" w:cs="Times New Roman"/>
          <w:color w:val="000000" w:themeColor="text1"/>
          <w:sz w:val="24"/>
          <w:szCs w:val="24"/>
        </w:rPr>
        <w:t xml:space="preserve">. </w:t>
      </w:r>
    </w:p>
    <w:p w14:paraId="4B7626B4" w14:textId="181ED817" w:rsidR="00AE3058" w:rsidRPr="00945868" w:rsidRDefault="00AE35D5" w:rsidP="00A844FC">
      <w:pPr>
        <w:spacing w:before="100" w:beforeAutospacing="1" w:after="100" w:afterAutospacing="1" w:line="480" w:lineRule="auto"/>
        <w:rPr>
          <w:rFonts w:ascii="Garamond" w:hAnsi="Garamond" w:cs="Times New Roman"/>
          <w:color w:val="000000" w:themeColor="text1"/>
          <w:sz w:val="24"/>
          <w:szCs w:val="24"/>
        </w:rPr>
      </w:pPr>
      <w:r w:rsidRPr="007D4233">
        <w:rPr>
          <w:rFonts w:ascii="Times New Roman" w:hAnsi="Times New Roman" w:cs="Times New Roman"/>
          <w:color w:val="000000" w:themeColor="text1"/>
          <w:sz w:val="24"/>
          <w:szCs w:val="24"/>
        </w:rPr>
        <w:tab/>
      </w:r>
      <w:r w:rsidRPr="00885EFA">
        <w:rPr>
          <w:rFonts w:ascii="Garamond" w:hAnsi="Garamond" w:cs="Times New Roman"/>
          <w:color w:val="000000" w:themeColor="text1"/>
          <w:sz w:val="24"/>
          <w:szCs w:val="24"/>
        </w:rPr>
        <w:t xml:space="preserve">The drafter’s limited contribution </w:t>
      </w:r>
      <w:r w:rsidRPr="006B5B86">
        <w:rPr>
          <w:rFonts w:ascii="Garamond" w:hAnsi="Garamond" w:cs="Times New Roman"/>
          <w:color w:val="000000" w:themeColor="text1"/>
          <w:sz w:val="24"/>
          <w:szCs w:val="24"/>
        </w:rPr>
        <w:t>to efficacy is effectiveness</w:t>
      </w:r>
      <w:r w:rsidR="00C32174">
        <w:rPr>
          <w:rFonts w:ascii="Garamond" w:hAnsi="Garamond" w:cs="Times New Roman"/>
          <w:color w:val="000000" w:themeColor="text1"/>
          <w:sz w:val="24"/>
          <w:szCs w:val="24"/>
        </w:rPr>
        <w:t>,</w:t>
      </w:r>
      <w:r w:rsidRPr="00885EFA">
        <w:rPr>
          <w:rStyle w:val="FootnoteReference"/>
          <w:rFonts w:ascii="Garamond" w:hAnsi="Garamond"/>
          <w:sz w:val="24"/>
          <w:szCs w:val="24"/>
        </w:rPr>
        <w:footnoteReference w:id="4"/>
      </w:r>
      <w:r w:rsidRPr="00885EFA">
        <w:rPr>
          <w:rFonts w:ascii="Garamond" w:hAnsi="Garamond" w:cs="Times New Roman"/>
          <w:color w:val="000000" w:themeColor="text1"/>
          <w:sz w:val="24"/>
          <w:szCs w:val="24"/>
        </w:rPr>
        <w:t xml:space="preserve"> defined as the extent to which the observable attitudes and behaviours of the target population correspond to the attitudes and behaviours prescribed by the legislator</w:t>
      </w:r>
      <w:r w:rsidR="00C1080C">
        <w:rPr>
          <w:rFonts w:ascii="Garamond" w:hAnsi="Garamond" w:cs="Times New Roman"/>
          <w:color w:val="000000" w:themeColor="text1"/>
          <w:sz w:val="24"/>
          <w:szCs w:val="24"/>
        </w:rPr>
        <w:t xml:space="preserve"> </w:t>
      </w:r>
      <w:r w:rsidR="00C1080C">
        <w:rPr>
          <w:rFonts w:ascii="Garamond" w:hAnsi="Garamond" w:cs="Times New Roman"/>
          <w:color w:val="000000" w:themeColor="text1"/>
          <w:sz w:val="24"/>
          <w:szCs w:val="24"/>
        </w:rPr>
        <w:fldChar w:fldCharType="begin"/>
      </w:r>
      <w:r w:rsidR="00C1080C">
        <w:rPr>
          <w:rFonts w:ascii="Garamond" w:hAnsi="Garamond" w:cs="Times New Roman"/>
          <w:color w:val="000000" w:themeColor="text1"/>
          <w:sz w:val="24"/>
          <w:szCs w:val="24"/>
        </w:rPr>
        <w:instrText xml:space="preserve"> ADDIN ZOTERO_ITEM CSL_CITATION {"citationID":"Bj0KttFd","properties":{"formattedCitation":"(Mader, 2001)","plainCitation":"(Mader, 2001)","noteIndex":0},"citationItems":[{"id":3528,"uris":["http://zotero.org/users/1070015/items/9EMZ7V32"],"uri":["http://zotero.org/users/1070015/items/9EMZ7V32"],"itemData":{"id":3528,"type":"article-journal","abstract":"1Federal Office of Justice, Berne 2The Institut de hautes études en administration publique (IDHEAP), Lausanne","container-title":"Statute Law Review","DOI":"10.1093/slr/22.2.119","ISSN":"0144-3593","issue":"2","journalAbbreviation":"Statute Law Rev","language":"en","note":"publisher: Oxford Academic","page":"119-131","source":"academic.oup.com","title":"Evaluating the Effects: A Contribution to the Quality of Legislation","title-short":"Evaluating the Effects","volume":"22","author":[{"family":"Mader","given":"Luzius"}],"issued":{"date-parts":[["2001",1,1]]}}}],"schema":"https://github.com/citation-style-language/schema/raw/master/csl-citation.json"} </w:instrText>
      </w:r>
      <w:r w:rsidR="00C1080C">
        <w:rPr>
          <w:rFonts w:ascii="Garamond" w:hAnsi="Garamond" w:cs="Times New Roman"/>
          <w:color w:val="000000" w:themeColor="text1"/>
          <w:sz w:val="24"/>
          <w:szCs w:val="24"/>
        </w:rPr>
        <w:fldChar w:fldCharType="separate"/>
      </w:r>
      <w:r w:rsidR="00C1080C">
        <w:rPr>
          <w:rFonts w:ascii="Garamond" w:hAnsi="Garamond" w:cs="Times New Roman"/>
          <w:noProof/>
          <w:color w:val="000000" w:themeColor="text1"/>
          <w:sz w:val="24"/>
          <w:szCs w:val="24"/>
        </w:rPr>
        <w:t>(Mader, 2001)</w:t>
      </w:r>
      <w:r w:rsidR="00C1080C">
        <w:rPr>
          <w:rFonts w:ascii="Garamond" w:hAnsi="Garamond" w:cs="Times New Roman"/>
          <w:color w:val="000000" w:themeColor="text1"/>
          <w:sz w:val="24"/>
          <w:szCs w:val="24"/>
        </w:rPr>
        <w:fldChar w:fldCharType="end"/>
      </w:r>
      <w:r w:rsidRPr="00885EFA">
        <w:rPr>
          <w:rFonts w:ascii="Garamond" w:hAnsi="Garamond" w:cs="Times New Roman"/>
          <w:color w:val="000000" w:themeColor="text1"/>
          <w:sz w:val="24"/>
          <w:szCs w:val="24"/>
        </w:rPr>
        <w:t>; or “the fact that law matters: it has effects on political, economic and social life outside the law – that i</w:t>
      </w:r>
      <w:r w:rsidR="00CF5BF6">
        <w:rPr>
          <w:rFonts w:ascii="Garamond" w:hAnsi="Garamond" w:cs="Times New Roman"/>
          <w:color w:val="000000" w:themeColor="text1"/>
          <w:sz w:val="24"/>
          <w:szCs w:val="24"/>
        </w:rPr>
        <w:t>s</w:t>
      </w:r>
      <w:r w:rsidRPr="00885EFA">
        <w:rPr>
          <w:rFonts w:ascii="Garamond" w:hAnsi="Garamond" w:cs="Times New Roman"/>
          <w:color w:val="000000" w:themeColor="text1"/>
          <w:sz w:val="24"/>
          <w:szCs w:val="24"/>
        </w:rPr>
        <w:t>, apart from simply the elaboration of legal doctrine”</w:t>
      </w:r>
      <w:r w:rsidR="009E17D5">
        <w:rPr>
          <w:rFonts w:ascii="Garamond" w:hAnsi="Garamond" w:cs="Times New Roman"/>
          <w:color w:val="000000" w:themeColor="text1"/>
          <w:sz w:val="24"/>
          <w:szCs w:val="24"/>
        </w:rPr>
        <w:t xml:space="preserve"> (see Snyder, 1993, p. 19; Snyder, 1990)</w:t>
      </w:r>
      <w:r w:rsidR="00E24C89">
        <w:rPr>
          <w:rFonts w:ascii="Garamond" w:hAnsi="Garamond" w:cs="Times New Roman"/>
          <w:color w:val="000000" w:themeColor="text1"/>
          <w:sz w:val="24"/>
          <w:szCs w:val="24"/>
        </w:rPr>
        <w:t>;</w:t>
      </w:r>
      <w:r w:rsidRPr="00885EFA">
        <w:rPr>
          <w:rFonts w:ascii="Garamond" w:hAnsi="Garamond" w:cs="Times New Roman"/>
          <w:color w:val="000000" w:themeColor="text1"/>
          <w:sz w:val="24"/>
          <w:szCs w:val="24"/>
        </w:rPr>
        <w:t xml:space="preserve"> or a term encompassing implementation, enforcement, impact, and compliance</w:t>
      </w:r>
      <w:r w:rsidR="00E635C0">
        <w:rPr>
          <w:rFonts w:ascii="Garamond" w:hAnsi="Garamond" w:cs="Times New Roman"/>
          <w:color w:val="000000" w:themeColor="text1"/>
          <w:sz w:val="24"/>
          <w:szCs w:val="24"/>
        </w:rPr>
        <w:t xml:space="preserve"> </w:t>
      </w:r>
      <w:r w:rsidR="00E635C0">
        <w:rPr>
          <w:rFonts w:ascii="Garamond" w:hAnsi="Garamond" w:cs="Times New Roman"/>
          <w:color w:val="000000" w:themeColor="text1"/>
          <w:sz w:val="24"/>
          <w:szCs w:val="24"/>
        </w:rPr>
        <w:fldChar w:fldCharType="begin"/>
      </w:r>
      <w:r w:rsidR="000E7353">
        <w:rPr>
          <w:rFonts w:ascii="Garamond" w:hAnsi="Garamond" w:cs="Times New Roman"/>
          <w:color w:val="000000" w:themeColor="text1"/>
          <w:sz w:val="24"/>
          <w:szCs w:val="24"/>
        </w:rPr>
        <w:instrText xml:space="preserve"> ADDIN ZOTERO_ITEM CSL_CITATION {"citationID":"z10qoZ1g","properties":{"formattedCitation":"(Teubner, 1987)","plainCitation":"(Teubner, 1987)","noteIndex":0},"citationItems":[{"id":3544,"uris":["http://zotero.org/users/1070015/items/IFCQC8NS"],"uri":["http://zotero.org/users/1070015/items/IFCQC8NS"],"itemData":{"id":3544,"type":"chapter","container-title":"Einfuhrung in der Rectssoziologie","event-place":"Darmstadt","publisher":"Wissenschaftliche Buchgesellschaft","publisher-place":"Darmstadt","title":"Regulatory law: Chronicle of a Death Foretold","author":[{"family":"Teubner","given":"Gunther"}],"issued":{"date-parts":[["1987"]]}}}],"schema":"https://github.com/citation-style-language/schema/raw/master/csl-citation.json"} </w:instrText>
      </w:r>
      <w:r w:rsidR="00E635C0">
        <w:rPr>
          <w:rFonts w:ascii="Garamond" w:hAnsi="Garamond" w:cs="Times New Roman"/>
          <w:color w:val="000000" w:themeColor="text1"/>
          <w:sz w:val="24"/>
          <w:szCs w:val="24"/>
        </w:rPr>
        <w:fldChar w:fldCharType="separate"/>
      </w:r>
      <w:r w:rsidR="006B1F1C">
        <w:rPr>
          <w:rFonts w:ascii="Garamond" w:hAnsi="Garamond" w:cs="Times New Roman"/>
          <w:noProof/>
          <w:color w:val="000000" w:themeColor="text1"/>
          <w:sz w:val="24"/>
          <w:szCs w:val="24"/>
        </w:rPr>
        <w:t>(Teubner, 1992</w:t>
      </w:r>
      <w:r w:rsidR="000E7353">
        <w:rPr>
          <w:rFonts w:ascii="Garamond" w:hAnsi="Garamond" w:cs="Times New Roman"/>
          <w:noProof/>
          <w:color w:val="000000" w:themeColor="text1"/>
          <w:sz w:val="24"/>
          <w:szCs w:val="24"/>
        </w:rPr>
        <w:t>)</w:t>
      </w:r>
      <w:r w:rsidR="00E635C0">
        <w:rPr>
          <w:rFonts w:ascii="Garamond" w:hAnsi="Garamond" w:cs="Times New Roman"/>
          <w:color w:val="000000" w:themeColor="text1"/>
          <w:sz w:val="24"/>
          <w:szCs w:val="24"/>
        </w:rPr>
        <w:fldChar w:fldCharType="end"/>
      </w:r>
      <w:r w:rsidRPr="00885EFA">
        <w:rPr>
          <w:rFonts w:ascii="Garamond" w:hAnsi="Garamond" w:cs="Times New Roman"/>
          <w:color w:val="000000" w:themeColor="text1"/>
          <w:sz w:val="24"/>
          <w:szCs w:val="24"/>
        </w:rPr>
        <w:t>; or the degree to which the legislative measure has achieved a concrete goal without suffering from side effects</w:t>
      </w:r>
      <w:r w:rsidR="00E91646">
        <w:rPr>
          <w:rFonts w:ascii="Garamond" w:hAnsi="Garamond" w:cs="Times New Roman"/>
          <w:color w:val="000000" w:themeColor="text1"/>
          <w:sz w:val="24"/>
          <w:szCs w:val="24"/>
        </w:rPr>
        <w:t xml:space="preserve"> </w:t>
      </w:r>
      <w:r w:rsidR="00E91646">
        <w:rPr>
          <w:rFonts w:ascii="Garamond" w:hAnsi="Garamond" w:cs="Times New Roman"/>
          <w:color w:val="000000" w:themeColor="text1"/>
          <w:sz w:val="24"/>
          <w:szCs w:val="24"/>
        </w:rPr>
        <w:fldChar w:fldCharType="begin"/>
      </w:r>
      <w:r w:rsidR="002851B0">
        <w:rPr>
          <w:rFonts w:ascii="Garamond" w:hAnsi="Garamond" w:cs="Times New Roman"/>
          <w:color w:val="000000" w:themeColor="text1"/>
          <w:sz w:val="24"/>
          <w:szCs w:val="24"/>
        </w:rPr>
        <w:instrText xml:space="preserve"> ADDIN ZOTERO_ITEM CSL_CITATION {"citationID":"GXpLOaub","properties":{"formattedCitation":"(M\\uc0\\u252{}ller and Uhlmann, 2013)","plainCitation":"(Müller and Uhlmann, 2013)","noteIndex":0},"citationItems":[{"id":3545,"uris":["http://zotero.org/users/1070015/items/LIQVGGMT"],"uri":["http://zotero.org/users/1070015/items/LIQVGGMT"],"itemData":{"id":3545,"type":"book","event-place":"Zurich","number-of-pages":"51","publisher":"Asculthess","publisher-place":"Zurich","title":"Elemente einer Rechtssetzungslehre","URL":"https://www.schulthess.com/verlag/detail/ISBN-9783725568635/M%C3%BCller-Georg-Uhlmann-Felix/Elemente-einer-Rechtssetzungslehre","author":[{"family":"Müller","given":"Georg"},{"family":"Uhlmann","given":"Felix"}],"accessed":{"date-parts":[["2020",9,4]]},"issued":{"date-parts":[["2013"]]}}}],"schema":"https://github.com/citation-style-language/schema/raw/master/csl-citation.json"} </w:instrText>
      </w:r>
      <w:r w:rsidR="00E91646">
        <w:rPr>
          <w:rFonts w:ascii="Garamond" w:hAnsi="Garamond" w:cs="Times New Roman"/>
          <w:color w:val="000000" w:themeColor="text1"/>
          <w:sz w:val="24"/>
          <w:szCs w:val="24"/>
        </w:rPr>
        <w:fldChar w:fldCharType="separate"/>
      </w:r>
      <w:r w:rsidR="002851B0" w:rsidRPr="002851B0">
        <w:rPr>
          <w:rFonts w:ascii="Garamond" w:hAnsi="Garamond" w:cs="Times New Roman"/>
          <w:color w:val="000000"/>
          <w:sz w:val="24"/>
        </w:rPr>
        <w:t>(Müller and Uhlmann, 2013)</w:t>
      </w:r>
      <w:r w:rsidR="00E91646">
        <w:rPr>
          <w:rFonts w:ascii="Garamond" w:hAnsi="Garamond" w:cs="Times New Roman"/>
          <w:color w:val="000000" w:themeColor="text1"/>
          <w:sz w:val="24"/>
          <w:szCs w:val="24"/>
        </w:rPr>
        <w:fldChar w:fldCharType="end"/>
      </w:r>
      <w:r w:rsidRPr="00885EFA">
        <w:rPr>
          <w:rFonts w:ascii="Garamond" w:hAnsi="Garamond" w:cs="Times New Roman"/>
          <w:color w:val="000000" w:themeColor="text1"/>
          <w:sz w:val="24"/>
          <w:szCs w:val="24"/>
        </w:rPr>
        <w:t>; or the extent to which the legislation influences in the desired manner the social phenomenon which it aims to address</w:t>
      </w:r>
      <w:r w:rsidR="00CF378D">
        <w:rPr>
          <w:rFonts w:ascii="Garamond" w:hAnsi="Garamond" w:cs="Times New Roman"/>
          <w:color w:val="000000" w:themeColor="text1"/>
          <w:sz w:val="24"/>
          <w:szCs w:val="24"/>
        </w:rPr>
        <w:t xml:space="preserve"> </w:t>
      </w:r>
      <w:r w:rsidR="00E90956">
        <w:rPr>
          <w:rFonts w:ascii="Garamond" w:hAnsi="Garamond" w:cs="Times New Roman"/>
          <w:color w:val="000000" w:themeColor="text1"/>
          <w:sz w:val="24"/>
          <w:szCs w:val="24"/>
        </w:rPr>
        <w:fldChar w:fldCharType="begin"/>
      </w:r>
      <w:r w:rsidR="00E90956">
        <w:rPr>
          <w:rFonts w:ascii="Garamond" w:hAnsi="Garamond" w:cs="Times New Roman"/>
          <w:color w:val="000000" w:themeColor="text1"/>
          <w:sz w:val="24"/>
          <w:szCs w:val="24"/>
        </w:rPr>
        <w:instrText xml:space="preserve"> ADDIN ZOTERO_ITEM CSL_CITATION {"citationID":"b0JGRaQs","properties":{"formattedCitation":"(Cranston, 1978; Iredell, 1981)","plainCitation":"(Cranston, 1978; Iredell, 1981)","noteIndex":0},"citationItems":[{"id":3549,"uris":["http://zotero.org/users/1070015/items/MUI46JPB"],"uri":["http://zotero.org/users/1070015/items/MUI46JPB"],"itemData":{"id":3549,"type":"article-journal","container-title":"Northwestern University Law Review","journalAbbreviation":"Nw. U. L. Rev.","page":"873","title":"Reform Through Legislation:  The Dimension of Legislative Technique","title-short":"Reform Through Legislation","volume":"73","author":[{"family":"Cranston","given":"Ross F."}],"issued":{"date-parts":[["1978"]],"season":"1979"}}},{"id":3547,"uris":["http://zotero.org/users/1070015/items/2AT2MT4A"],"uri":["http://zotero.org/users/1070015/items/2AT2MT4A"],"itemData":{"id":3547,"type":"book","event-place":"Princeton","ISBN":"978-0-691-64352-6","language":"en","publisher":"Princeton University Press","publisher-place":"Princeton","source":"press.princeton.edu","title":"Social Order and the Limits of Law","author":[{"family":"Iredell","given":"Jenkins"}],"accessed":{"date-parts":[["2020",9,4]]},"issued":{"date-parts":[["1981"]]}}}],"schema":"https://github.com/citation-style-language/schema/raw/master/csl-citation.json"} </w:instrText>
      </w:r>
      <w:r w:rsidR="00E90956">
        <w:rPr>
          <w:rFonts w:ascii="Garamond" w:hAnsi="Garamond" w:cs="Times New Roman"/>
          <w:color w:val="000000" w:themeColor="text1"/>
          <w:sz w:val="24"/>
          <w:szCs w:val="24"/>
        </w:rPr>
        <w:fldChar w:fldCharType="separate"/>
      </w:r>
      <w:r w:rsidR="00E90956">
        <w:rPr>
          <w:rFonts w:ascii="Garamond" w:hAnsi="Garamond" w:cs="Times New Roman"/>
          <w:noProof/>
          <w:color w:val="000000" w:themeColor="text1"/>
          <w:sz w:val="24"/>
          <w:szCs w:val="24"/>
        </w:rPr>
        <w:t>(Cranston, 1978; Iredell, 1981)</w:t>
      </w:r>
      <w:r w:rsidR="00E90956">
        <w:rPr>
          <w:rFonts w:ascii="Garamond" w:hAnsi="Garamond" w:cs="Times New Roman"/>
          <w:color w:val="000000" w:themeColor="text1"/>
          <w:sz w:val="24"/>
          <w:szCs w:val="24"/>
        </w:rPr>
        <w:fldChar w:fldCharType="end"/>
      </w:r>
      <w:r w:rsidRPr="00885EFA">
        <w:rPr>
          <w:rFonts w:ascii="Garamond" w:hAnsi="Garamond" w:cs="Times New Roman"/>
          <w:color w:val="000000" w:themeColor="text1"/>
          <w:sz w:val="24"/>
          <w:szCs w:val="24"/>
        </w:rPr>
        <w:t>; or a consequence of the rule of law, which imposes a duty on the legislator to consider and respect the implementation and enforcement of legislation to be enacted</w:t>
      </w:r>
      <w:r w:rsidR="00E90956">
        <w:rPr>
          <w:rFonts w:ascii="Garamond" w:hAnsi="Garamond" w:cs="Times New Roman"/>
          <w:color w:val="000000" w:themeColor="text1"/>
          <w:sz w:val="24"/>
          <w:szCs w:val="24"/>
        </w:rPr>
        <w:t xml:space="preserve"> </w:t>
      </w:r>
      <w:r w:rsidR="00E90956">
        <w:rPr>
          <w:rFonts w:ascii="Garamond" w:hAnsi="Garamond" w:cs="Times New Roman"/>
          <w:color w:val="000000" w:themeColor="text1"/>
          <w:sz w:val="24"/>
          <w:szCs w:val="24"/>
        </w:rPr>
        <w:fldChar w:fldCharType="begin"/>
      </w:r>
      <w:r w:rsidR="00E90956">
        <w:rPr>
          <w:rFonts w:ascii="Garamond" w:hAnsi="Garamond" w:cs="Times New Roman"/>
          <w:color w:val="000000" w:themeColor="text1"/>
          <w:sz w:val="24"/>
          <w:szCs w:val="24"/>
        </w:rPr>
        <w:instrText xml:space="preserve"> ADDIN ZOTERO_ITEM CSL_CITATION {"citationID":"ewTRMuwJ","properties":{"formattedCitation":"(Voermans, 2009)","plainCitation":"(Voermans, 2009)","noteIndex":0},"citationItems":[{"id":3551,"uris":["http://zotero.org/users/1070015/items/HF7MGTM8"],"uri":["http://zotero.org/users/1070015/items/HF7MGTM8"],"itemData":{"id":3551,"type":"article-journal","abstract":"Over the last decade the interest in the quality of EU legislative instruments has surged due to serious threats to the effectiveness of the legislation. This contribution makes an inventory of the policies and instruments that have been put into place to improve quality of legislation and assesses their character, orientation and effectiveness. Any appraisal of these policies, so the paper argues, is dependent on a perception of the basic functions attributed to EU legislative instruments and the standards derived from it. The paper concludes that the present policies and instruments for Better lawmaking do have the ability to promote the regulatory quality but not necessarily the overall legislative quality.","container-title":"Erasmus Law Review","language":"en","page":"230","source":"papers.ssrn.com","title":"Concern about the Quality of EU Legislation: What Kind of Problem, by What Kind of Standards?","title-short":"Concern about the Quality of EU Legislation","volume":"2","author":[{"family":"Voermans","given":"Wim J. M."}],"issued":{"date-parts":[["2009"]]}}}],"schema":"https://github.com/citation-style-language/schema/raw/master/csl-citation.json"} </w:instrText>
      </w:r>
      <w:r w:rsidR="00E90956">
        <w:rPr>
          <w:rFonts w:ascii="Garamond" w:hAnsi="Garamond" w:cs="Times New Roman"/>
          <w:color w:val="000000" w:themeColor="text1"/>
          <w:sz w:val="24"/>
          <w:szCs w:val="24"/>
        </w:rPr>
        <w:fldChar w:fldCharType="separate"/>
      </w:r>
      <w:r w:rsidR="00E90956">
        <w:rPr>
          <w:rFonts w:ascii="Garamond" w:hAnsi="Garamond" w:cs="Times New Roman"/>
          <w:noProof/>
          <w:color w:val="000000" w:themeColor="text1"/>
          <w:sz w:val="24"/>
          <w:szCs w:val="24"/>
        </w:rPr>
        <w:t>(Voermans, 2009)</w:t>
      </w:r>
      <w:r w:rsidR="00E90956">
        <w:rPr>
          <w:rFonts w:ascii="Garamond" w:hAnsi="Garamond" w:cs="Times New Roman"/>
          <w:color w:val="000000" w:themeColor="text1"/>
          <w:sz w:val="24"/>
          <w:szCs w:val="24"/>
        </w:rPr>
        <w:fldChar w:fldCharType="end"/>
      </w:r>
      <w:r w:rsidRPr="00885EFA">
        <w:rPr>
          <w:rFonts w:ascii="Garamond" w:hAnsi="Garamond" w:cs="Times New Roman"/>
          <w:color w:val="000000" w:themeColor="text1"/>
          <w:sz w:val="24"/>
          <w:szCs w:val="24"/>
        </w:rPr>
        <w:t xml:space="preserve">; or a </w:t>
      </w:r>
      <w:r w:rsidRPr="00885EFA">
        <w:rPr>
          <w:rFonts w:ascii="Garamond" w:hAnsi="Garamond" w:cs="Times New Roman"/>
          <w:iCs/>
          <w:color w:val="000000" w:themeColor="text1"/>
          <w:sz w:val="24"/>
          <w:szCs w:val="24"/>
        </w:rPr>
        <w:t>measure of the causal relations between the law and its effects: and so an effective law is one that is respected or implemented, provided that the observable degree of respect can be attributed to the norm</w:t>
      </w:r>
      <w:r w:rsidR="00420CD3">
        <w:rPr>
          <w:rFonts w:ascii="Garamond" w:hAnsi="Garamond" w:cs="Times New Roman"/>
          <w:iCs/>
          <w:color w:val="000000" w:themeColor="text1"/>
          <w:sz w:val="24"/>
          <w:szCs w:val="24"/>
        </w:rPr>
        <w:t xml:space="preserve"> </w:t>
      </w:r>
      <w:r w:rsidR="00420CD3">
        <w:rPr>
          <w:rFonts w:ascii="Garamond" w:hAnsi="Garamond" w:cs="Times New Roman"/>
          <w:iCs/>
          <w:color w:val="000000" w:themeColor="text1"/>
          <w:sz w:val="24"/>
          <w:szCs w:val="24"/>
        </w:rPr>
        <w:fldChar w:fldCharType="begin"/>
      </w:r>
      <w:r w:rsidR="00420CD3">
        <w:rPr>
          <w:rFonts w:ascii="Garamond" w:hAnsi="Garamond" w:cs="Times New Roman"/>
          <w:iCs/>
          <w:color w:val="000000" w:themeColor="text1"/>
          <w:sz w:val="24"/>
          <w:szCs w:val="24"/>
        </w:rPr>
        <w:instrText xml:space="preserve"> ADDIN ZOTERO_ITEM CSL_CITATION {"citationID":"ddr3023n","properties":{"formattedCitation":"(Mousmouti, 2012)","plainCitation":"(Mousmouti, 2012)","noteIndex":0},"citationItems":[{"id":3532,"uris":["http://zotero.org/users/1070015/items/AJ2ZLL48"],"uri":["http://zotero.org/users/1070015/items/AJ2ZLL48"],"itemData":{"id":3532,"type":"article-journal","abstract":"Quality of legislation has become particularly eminent in policy discussions and academic debate during the last decades. Several different approaches have been developed, covering different viewpoints, disciplines and perspectives, yet contributing little certainty as far as the content of quality is concerned. Quality remains an extremely elusive issue which attempts to crystallise a delicate balance between different objectives, priorities and needs, which might well vary among countries but also even among areas of law. Yet, a particularly powerful element of quality of a legislative text is effectiveness. This paper suggests that the broad concept of quality of legislation can be operationalised through the concept of effectiveness and the ‘effectiveness test’ which juxtaposes basic features of legislative texts across its life cycle. By linking the purpose and objectives, initial design, analysis and means of a piece of legislation with its real life outcomes, the ‘effectiveness test’ allows a holistic view of the quality of a legislative text. Further, the ‘effectiveness test’ links intrinsic features of legislation and is thus valid and applicable in any context.","container-title":"Legisprudence","DOI":"10.5235/175214612803596686","ISSN":"1752-1467","issue":"2","note":"publisher: Routledge\n_eprint: https://doi.org/10.5235/175214612803596686","page":"191-205","source":"Taylor and Francis+NEJM","title":"Operationalising Quality of Legislation through the Effectiveness Test","volume":"6","author":[{"family":"Mousmouti","given":"Maria"}],"issued":{"date-parts":[["2012",10,22]]}}}],"schema":"https://github.com/citation-style-language/schema/raw/master/csl-citation.json"} </w:instrText>
      </w:r>
      <w:r w:rsidR="00420CD3">
        <w:rPr>
          <w:rFonts w:ascii="Garamond" w:hAnsi="Garamond" w:cs="Times New Roman"/>
          <w:iCs/>
          <w:color w:val="000000" w:themeColor="text1"/>
          <w:sz w:val="24"/>
          <w:szCs w:val="24"/>
        </w:rPr>
        <w:fldChar w:fldCharType="separate"/>
      </w:r>
      <w:r w:rsidR="00420CD3">
        <w:rPr>
          <w:rFonts w:ascii="Garamond" w:hAnsi="Garamond" w:cs="Times New Roman"/>
          <w:iCs/>
          <w:noProof/>
          <w:color w:val="000000" w:themeColor="text1"/>
          <w:sz w:val="24"/>
          <w:szCs w:val="24"/>
        </w:rPr>
        <w:t>(Mousmouti, 2012)</w:t>
      </w:r>
      <w:r w:rsidR="00420CD3">
        <w:rPr>
          <w:rFonts w:ascii="Garamond" w:hAnsi="Garamond" w:cs="Times New Roman"/>
          <w:iCs/>
          <w:color w:val="000000" w:themeColor="text1"/>
          <w:sz w:val="24"/>
          <w:szCs w:val="24"/>
        </w:rPr>
        <w:fldChar w:fldCharType="end"/>
      </w:r>
      <w:r w:rsidRPr="00885EFA">
        <w:rPr>
          <w:rFonts w:ascii="Garamond" w:hAnsi="Garamond" w:cs="Times New Roman"/>
          <w:iCs/>
          <w:color w:val="000000" w:themeColor="text1"/>
          <w:sz w:val="24"/>
          <w:szCs w:val="24"/>
        </w:rPr>
        <w:t xml:space="preserve">. If one attempts to use all of the elements of these enlightened definitions of effectiveness, one could suggest that effectiveness of legislation is the </w:t>
      </w:r>
      <w:r w:rsidRPr="00885EFA">
        <w:rPr>
          <w:rFonts w:ascii="Garamond" w:hAnsi="Garamond" w:cs="Times New Roman"/>
          <w:color w:val="000000" w:themeColor="text1"/>
          <w:sz w:val="24"/>
          <w:szCs w:val="24"/>
        </w:rPr>
        <w:t>ultimate measure of quality in legislation</w:t>
      </w:r>
      <w:r w:rsidR="00420CD3">
        <w:rPr>
          <w:rFonts w:ascii="Garamond" w:hAnsi="Garamond" w:cs="Times New Roman"/>
          <w:color w:val="000000" w:themeColor="text1"/>
          <w:sz w:val="24"/>
          <w:szCs w:val="24"/>
        </w:rPr>
        <w:t xml:space="preserve"> </w:t>
      </w:r>
      <w:r w:rsidR="00420CD3">
        <w:rPr>
          <w:rFonts w:ascii="Garamond" w:hAnsi="Garamond" w:cs="Times New Roman"/>
          <w:color w:val="000000" w:themeColor="text1"/>
          <w:sz w:val="24"/>
          <w:szCs w:val="24"/>
        </w:rPr>
        <w:fldChar w:fldCharType="begin"/>
      </w:r>
      <w:r w:rsidR="00945868">
        <w:rPr>
          <w:rFonts w:ascii="Garamond" w:hAnsi="Garamond" w:cs="Times New Roman"/>
          <w:color w:val="000000" w:themeColor="text1"/>
          <w:sz w:val="24"/>
          <w:szCs w:val="24"/>
        </w:rPr>
        <w:instrText xml:space="preserve"> ADDIN ZOTERO_ITEM CSL_CITATION {"citationID":"V6k5l5po","properties":{"formattedCitation":"(Xanthaki, 2008)","plainCitation":"(Xanthaki, 2008)","noteIndex":0},"citationItems":[{"id":3531,"uris":["http://zotero.org/users/1070015/items/8L6NHSQB"],"uri":["http://zotero.org/users/1070015/items/8L6NHSQB"],"itemData":{"id":3531,"type":"chapter","container-title":"Drafting Legislation: A Modern Approach - in Memoriam of Sir William Dale","page":"1-18","publisher":"Ashgate","title":"On transferability of legislative solutions: the functionality test","author":[{"family":"Xanthaki","given":"Helen"}],"issued":{"date-parts":[["2008"]]}}}],"schema":"https://github.com/citation-style-language/schema/raw/master/csl-citation.json"} </w:instrText>
      </w:r>
      <w:r w:rsidR="00420CD3">
        <w:rPr>
          <w:rFonts w:ascii="Garamond" w:hAnsi="Garamond" w:cs="Times New Roman"/>
          <w:color w:val="000000" w:themeColor="text1"/>
          <w:sz w:val="24"/>
          <w:szCs w:val="24"/>
        </w:rPr>
        <w:fldChar w:fldCharType="separate"/>
      </w:r>
      <w:r w:rsidR="00945868">
        <w:rPr>
          <w:rFonts w:ascii="Garamond" w:hAnsi="Garamond" w:cs="Times New Roman"/>
          <w:noProof/>
          <w:color w:val="000000" w:themeColor="text1"/>
          <w:sz w:val="24"/>
          <w:szCs w:val="24"/>
        </w:rPr>
        <w:t>(Xanthaki, 2008)</w:t>
      </w:r>
      <w:r w:rsidR="00420CD3">
        <w:rPr>
          <w:rFonts w:ascii="Garamond" w:hAnsi="Garamond" w:cs="Times New Roman"/>
          <w:color w:val="000000" w:themeColor="text1"/>
          <w:sz w:val="24"/>
          <w:szCs w:val="24"/>
        </w:rPr>
        <w:fldChar w:fldCharType="end"/>
      </w:r>
      <w:r w:rsidRPr="00885EFA">
        <w:rPr>
          <w:rFonts w:ascii="Garamond" w:hAnsi="Garamond" w:cs="Times New Roman"/>
          <w:color w:val="000000" w:themeColor="text1"/>
          <w:sz w:val="24"/>
          <w:szCs w:val="24"/>
        </w:rPr>
        <w:t>, which reflects the extent to which the legislation manages to introduce adequate mechanisms capable of producing the desired regulatory results</w:t>
      </w:r>
      <w:r w:rsidR="009E17D5">
        <w:rPr>
          <w:rFonts w:ascii="Garamond" w:hAnsi="Garamond" w:cs="Times New Roman"/>
          <w:color w:val="000000" w:themeColor="text1"/>
          <w:sz w:val="24"/>
          <w:szCs w:val="24"/>
        </w:rPr>
        <w:t xml:space="preserve"> (see Office of the Leader of the House of Commons, 2008), para. 24</w:t>
      </w:r>
      <w:r w:rsidRPr="00885EFA">
        <w:rPr>
          <w:rFonts w:ascii="Garamond" w:hAnsi="Garamond" w:cs="Times New Roman"/>
          <w:color w:val="000000" w:themeColor="text1"/>
          <w:sz w:val="24"/>
          <w:szCs w:val="24"/>
        </w:rPr>
        <w:t xml:space="preserve">. In its </w:t>
      </w:r>
      <w:r w:rsidRPr="00885EFA">
        <w:rPr>
          <w:rFonts w:ascii="Garamond" w:hAnsi="Garamond" w:cs="Times New Roman"/>
          <w:color w:val="000000" w:themeColor="text1"/>
          <w:sz w:val="24"/>
          <w:szCs w:val="24"/>
        </w:rPr>
        <w:lastRenderedPageBreak/>
        <w:t>concrete, rather than abstract conceptual sense, effectiveness requires a legislative text that can (</w:t>
      </w:r>
      <w:proofErr w:type="spellStart"/>
      <w:r w:rsidRPr="00885EFA">
        <w:rPr>
          <w:rFonts w:ascii="Garamond" w:hAnsi="Garamond" w:cs="Times New Roman"/>
          <w:color w:val="000000" w:themeColor="text1"/>
          <w:sz w:val="24"/>
          <w:szCs w:val="24"/>
        </w:rPr>
        <w:t>i</w:t>
      </w:r>
      <w:proofErr w:type="spellEnd"/>
      <w:r w:rsidRPr="00885EFA">
        <w:rPr>
          <w:rFonts w:ascii="Garamond" w:hAnsi="Garamond" w:cs="Times New Roman"/>
          <w:color w:val="000000" w:themeColor="text1"/>
          <w:sz w:val="24"/>
          <w:szCs w:val="24"/>
        </w:rPr>
        <w:t>) foresee the main projected outcomes and use them in the drafting and formulation process; (ii) state clearly its objectives and purpose; (iii) provide for necessary and appropriate means and enforcement measures; (iv) assess and evaluate real-life effectiveness in a consistent and timely manner.</w:t>
      </w:r>
      <w:r w:rsidRPr="00885EFA">
        <w:rPr>
          <w:rStyle w:val="FootnoteReference"/>
          <w:rFonts w:ascii="Garamond" w:hAnsi="Garamond"/>
          <w:sz w:val="24"/>
          <w:szCs w:val="24"/>
        </w:rPr>
        <w:footnoteReference w:id="5"/>
      </w:r>
      <w:r w:rsidR="007C1FED">
        <w:rPr>
          <w:rFonts w:ascii="Garamond" w:hAnsi="Garamond" w:cs="Times New Roman"/>
          <w:color w:val="000000" w:themeColor="text1"/>
          <w:sz w:val="24"/>
          <w:szCs w:val="24"/>
        </w:rPr>
        <w:t xml:space="preserve"> </w:t>
      </w:r>
    </w:p>
    <w:p w14:paraId="44FADD40" w14:textId="578BF2BB" w:rsidR="005D18E8" w:rsidRPr="005D18E8" w:rsidRDefault="00AE35D5" w:rsidP="00A844FC">
      <w:pPr>
        <w:pStyle w:val="Heading2"/>
        <w:jc w:val="left"/>
      </w:pPr>
      <w:r w:rsidRPr="005D18E8">
        <w:t>The language of legislation</w:t>
      </w:r>
    </w:p>
    <w:p w14:paraId="3757B318" w14:textId="77777777" w:rsidR="00AE35D5" w:rsidRPr="00885EFA" w:rsidRDefault="00AE35D5" w:rsidP="00A844FC">
      <w:pPr>
        <w:spacing w:before="100" w:beforeAutospacing="1" w:after="100" w:afterAutospacing="1" w:line="480" w:lineRule="auto"/>
        <w:rPr>
          <w:rFonts w:ascii="Garamond" w:hAnsi="Garamond" w:cs="Times New Roman"/>
          <w:color w:val="000000" w:themeColor="text1"/>
          <w:sz w:val="24"/>
          <w:szCs w:val="24"/>
        </w:rPr>
      </w:pPr>
      <w:r w:rsidRPr="00885EFA">
        <w:rPr>
          <w:rFonts w:ascii="Garamond" w:hAnsi="Garamond" w:cs="Times New Roman"/>
          <w:color w:val="000000" w:themeColor="text1"/>
          <w:sz w:val="24"/>
          <w:szCs w:val="24"/>
        </w:rPr>
        <w:t>Legislation aims to communicate the regulatory message to its users as a means of imposing and inciting implementation. It attempts to detail clearly, precisely, and unambiguously what the new obligations or the new rights can be, in order to inform citizens with an inclination to comply how their behaviour or actions must change from the legislation’s entry into force. The receipt of the legislative message in the way that it was sent by the legislative text is crucial for legislative effectiveness and, ultimately, for regulatory efficacy.</w:t>
      </w:r>
    </w:p>
    <w:p w14:paraId="3A7E8120" w14:textId="0F3D2DD5" w:rsidR="00AE35D5" w:rsidRPr="00885EFA" w:rsidRDefault="00AE35D5" w:rsidP="00A844FC">
      <w:pPr>
        <w:pStyle w:val="ListParagraph"/>
        <w:spacing w:before="100" w:beforeAutospacing="1" w:after="100" w:afterAutospacing="1" w:line="480" w:lineRule="auto"/>
        <w:ind w:left="0"/>
        <w:contextualSpacing w:val="0"/>
        <w:rPr>
          <w:rFonts w:ascii="Garamond" w:hAnsi="Garamond" w:cs="Times New Roman"/>
          <w:color w:val="000000" w:themeColor="text1"/>
          <w:sz w:val="24"/>
          <w:szCs w:val="24"/>
        </w:rPr>
      </w:pPr>
      <w:r w:rsidRPr="00885EFA">
        <w:rPr>
          <w:rFonts w:ascii="Garamond" w:hAnsi="Garamond" w:cs="Times New Roman"/>
          <w:color w:val="000000" w:themeColor="text1"/>
          <w:sz w:val="24"/>
          <w:szCs w:val="24"/>
        </w:rPr>
        <w:tab/>
      </w:r>
      <w:proofErr w:type="spellStart"/>
      <w:r w:rsidRPr="00885EFA">
        <w:rPr>
          <w:rFonts w:ascii="Garamond" w:hAnsi="Garamond" w:cs="Times New Roman"/>
          <w:color w:val="000000" w:themeColor="text1"/>
          <w:sz w:val="24"/>
          <w:szCs w:val="24"/>
        </w:rPr>
        <w:t>Easified</w:t>
      </w:r>
      <w:proofErr w:type="spellEnd"/>
      <w:r w:rsidRPr="00885EFA">
        <w:rPr>
          <w:rFonts w:ascii="Garamond" w:hAnsi="Garamond" w:cs="Times New Roman"/>
          <w:color w:val="000000" w:themeColor="text1"/>
          <w:sz w:val="24"/>
          <w:szCs w:val="24"/>
        </w:rPr>
        <w:t xml:space="preserve"> language, as a development of plain language, aims to introduce principles that convey the legislative/regulatory message in a manner that i</w:t>
      </w:r>
      <w:r w:rsidR="009B4952" w:rsidRPr="00885EFA">
        <w:rPr>
          <w:rFonts w:ascii="Garamond" w:hAnsi="Garamond" w:cs="Times New Roman"/>
          <w:color w:val="000000" w:themeColor="text1"/>
          <w:sz w:val="24"/>
          <w:szCs w:val="24"/>
        </w:rPr>
        <w:t xml:space="preserve">s </w:t>
      </w:r>
      <w:r w:rsidRPr="00885EFA">
        <w:rPr>
          <w:rFonts w:ascii="Garamond" w:hAnsi="Garamond" w:cs="Times New Roman"/>
          <w:color w:val="000000" w:themeColor="text1"/>
          <w:sz w:val="24"/>
          <w:szCs w:val="24"/>
        </w:rPr>
        <w:t>clear and effective for its</w:t>
      </w:r>
      <w:r w:rsidR="00F12A8B" w:rsidRPr="00885EFA">
        <w:rPr>
          <w:rFonts w:ascii="Garamond" w:hAnsi="Garamond" w:cs="Times New Roman"/>
          <w:color w:val="000000" w:themeColor="text1"/>
          <w:sz w:val="24"/>
          <w:szCs w:val="24"/>
        </w:rPr>
        <w:t xml:space="preserve"> specific </w:t>
      </w:r>
      <w:r w:rsidRPr="00885EFA">
        <w:rPr>
          <w:rFonts w:ascii="Garamond" w:hAnsi="Garamond" w:cs="Times New Roman"/>
          <w:color w:val="000000" w:themeColor="text1"/>
          <w:sz w:val="24"/>
          <w:szCs w:val="24"/>
        </w:rPr>
        <w:t>audience</w:t>
      </w:r>
      <w:r w:rsidR="00F12A8B" w:rsidRPr="00885EFA">
        <w:rPr>
          <w:rFonts w:ascii="Garamond" w:hAnsi="Garamond" w:cs="Times New Roman"/>
          <w:color w:val="000000" w:themeColor="text1"/>
          <w:sz w:val="24"/>
          <w:szCs w:val="24"/>
        </w:rPr>
        <w:t>s</w:t>
      </w:r>
      <w:r w:rsidRPr="00885EFA">
        <w:rPr>
          <w:rFonts w:ascii="Garamond" w:hAnsi="Garamond" w:cs="Times New Roman"/>
          <w:color w:val="000000" w:themeColor="text1"/>
          <w:sz w:val="24"/>
          <w:szCs w:val="24"/>
        </w:rPr>
        <w:t xml:space="preserve">. </w:t>
      </w:r>
      <w:proofErr w:type="spellStart"/>
      <w:r w:rsidRPr="00885EFA">
        <w:rPr>
          <w:rFonts w:ascii="Garamond" w:hAnsi="Garamond" w:cs="Times New Roman"/>
          <w:color w:val="000000" w:themeColor="text1"/>
          <w:sz w:val="24"/>
          <w:szCs w:val="24"/>
        </w:rPr>
        <w:t>Easified</w:t>
      </w:r>
      <w:proofErr w:type="spellEnd"/>
      <w:r w:rsidRPr="00885EFA">
        <w:rPr>
          <w:rFonts w:ascii="Garamond" w:hAnsi="Garamond" w:cs="Times New Roman"/>
          <w:color w:val="000000" w:themeColor="text1"/>
          <w:sz w:val="24"/>
          <w:szCs w:val="24"/>
        </w:rPr>
        <w:t xml:space="preserve"> language encompasses the analysis of the policy and the initial translation into legislation, the selection and prioriti</w:t>
      </w:r>
      <w:r w:rsidR="00CC358E">
        <w:rPr>
          <w:rFonts w:ascii="Garamond" w:hAnsi="Garamond" w:cs="Times New Roman"/>
          <w:color w:val="000000" w:themeColor="text1"/>
          <w:sz w:val="24"/>
          <w:szCs w:val="24"/>
        </w:rPr>
        <w:t>s</w:t>
      </w:r>
      <w:r w:rsidRPr="00885EFA">
        <w:rPr>
          <w:rFonts w:ascii="Garamond" w:hAnsi="Garamond" w:cs="Times New Roman"/>
          <w:color w:val="000000" w:themeColor="text1"/>
          <w:sz w:val="24"/>
          <w:szCs w:val="24"/>
        </w:rPr>
        <w:t xml:space="preserve">ation of the information that readers need to receive, the selection and design of the legislative solution, and choices of legislative expression. </w:t>
      </w:r>
      <w:proofErr w:type="spellStart"/>
      <w:r w:rsidRPr="00885EFA">
        <w:rPr>
          <w:rFonts w:ascii="Garamond" w:hAnsi="Garamond" w:cs="Times New Roman"/>
          <w:color w:val="000000" w:themeColor="text1"/>
          <w:sz w:val="24"/>
          <w:szCs w:val="24"/>
        </w:rPr>
        <w:t>Easified</w:t>
      </w:r>
      <w:proofErr w:type="spellEnd"/>
      <w:r w:rsidRPr="00885EFA">
        <w:rPr>
          <w:rFonts w:ascii="Garamond" w:hAnsi="Garamond" w:cs="Times New Roman"/>
          <w:color w:val="000000" w:themeColor="text1"/>
          <w:sz w:val="24"/>
          <w:szCs w:val="24"/>
        </w:rPr>
        <w:t xml:space="preserve"> language extends from policy to law to drafting.</w:t>
      </w:r>
      <w:r w:rsidR="00F12A8B" w:rsidRPr="00885EFA">
        <w:rPr>
          <w:rFonts w:ascii="Garamond" w:hAnsi="Garamond" w:cs="Times New Roman"/>
          <w:color w:val="000000" w:themeColor="text1"/>
          <w:sz w:val="24"/>
          <w:szCs w:val="24"/>
        </w:rPr>
        <w:t xml:space="preserve"> </w:t>
      </w:r>
      <w:r w:rsidRPr="00885EFA">
        <w:rPr>
          <w:rFonts w:ascii="Garamond" w:hAnsi="Garamond" w:cs="Times New Roman"/>
          <w:color w:val="000000" w:themeColor="text1"/>
          <w:sz w:val="24"/>
          <w:szCs w:val="24"/>
        </w:rPr>
        <w:t xml:space="preserve">The blessing of this ambitious mandate comes with a curse of relativity. </w:t>
      </w:r>
      <w:proofErr w:type="spellStart"/>
      <w:r w:rsidRPr="00885EFA">
        <w:rPr>
          <w:rFonts w:ascii="Garamond" w:hAnsi="Garamond" w:cs="Times New Roman"/>
          <w:color w:val="000000" w:themeColor="text1"/>
          <w:sz w:val="24"/>
          <w:szCs w:val="24"/>
        </w:rPr>
        <w:t>Easification</w:t>
      </w:r>
      <w:proofErr w:type="spellEnd"/>
      <w:r w:rsidRPr="00885EFA">
        <w:rPr>
          <w:rFonts w:ascii="Garamond" w:hAnsi="Garamond" w:cs="Times New Roman"/>
          <w:color w:val="000000" w:themeColor="text1"/>
          <w:sz w:val="24"/>
          <w:szCs w:val="24"/>
        </w:rPr>
        <w:t xml:space="preserve"> requires simplification of the text for its specific audience, and thus requires an awareness of who the users of the texts will be, and what kind of sophistication they possess. </w:t>
      </w:r>
    </w:p>
    <w:p w14:paraId="222C8790" w14:textId="10437962" w:rsidR="00AE35D5" w:rsidRPr="00885EFA" w:rsidRDefault="00AE35D5" w:rsidP="00A844FC">
      <w:pPr>
        <w:pStyle w:val="ListParagraph"/>
        <w:spacing w:before="100" w:beforeAutospacing="1" w:after="100" w:afterAutospacing="1" w:line="480" w:lineRule="auto"/>
        <w:ind w:left="0"/>
        <w:rPr>
          <w:rFonts w:ascii="Garamond" w:hAnsi="Garamond" w:cs="Times New Roman"/>
          <w:sz w:val="24"/>
          <w:szCs w:val="24"/>
        </w:rPr>
      </w:pPr>
      <w:r w:rsidRPr="00885EFA">
        <w:rPr>
          <w:rFonts w:ascii="Garamond" w:hAnsi="Garamond" w:cs="Times New Roman"/>
          <w:color w:val="000000" w:themeColor="text1"/>
          <w:sz w:val="24"/>
          <w:szCs w:val="24"/>
        </w:rPr>
        <w:lastRenderedPageBreak/>
        <w:tab/>
      </w:r>
      <w:r w:rsidRPr="00885EFA">
        <w:rPr>
          <w:rFonts w:ascii="Garamond" w:hAnsi="Garamond" w:cs="Times New Roman"/>
          <w:sz w:val="24"/>
          <w:szCs w:val="24"/>
        </w:rPr>
        <w:t xml:space="preserve">Recent empirical data offered by a revolutionary survey of </w:t>
      </w:r>
      <w:r w:rsidR="00374E58">
        <w:rPr>
          <w:rFonts w:ascii="Garamond" w:hAnsi="Garamond" w:cs="Times New Roman"/>
          <w:sz w:val="24"/>
          <w:szCs w:val="24"/>
        </w:rPr>
        <w:t xml:space="preserve">the </w:t>
      </w:r>
      <w:r w:rsidRPr="00885EFA">
        <w:rPr>
          <w:rFonts w:ascii="Garamond" w:hAnsi="Garamond" w:cs="Times New Roman"/>
          <w:sz w:val="24"/>
          <w:szCs w:val="24"/>
        </w:rPr>
        <w:t>UK’s National Archi</w:t>
      </w:r>
      <w:r w:rsidR="00F12A8B" w:rsidRPr="00885EFA">
        <w:rPr>
          <w:rFonts w:ascii="Garamond" w:hAnsi="Garamond" w:cs="Times New Roman"/>
          <w:sz w:val="24"/>
          <w:szCs w:val="24"/>
        </w:rPr>
        <w:t>ves in cooperation with the O</w:t>
      </w:r>
      <w:r w:rsidR="00374E58">
        <w:rPr>
          <w:rFonts w:ascii="Garamond" w:hAnsi="Garamond" w:cs="Times New Roman"/>
          <w:sz w:val="24"/>
          <w:szCs w:val="24"/>
        </w:rPr>
        <w:t>ffice of Parliamentary Counsel (O</w:t>
      </w:r>
      <w:r w:rsidR="00F12A8B" w:rsidRPr="00885EFA">
        <w:rPr>
          <w:rFonts w:ascii="Garamond" w:hAnsi="Garamond" w:cs="Times New Roman"/>
          <w:sz w:val="24"/>
          <w:szCs w:val="24"/>
        </w:rPr>
        <w:t>PC</w:t>
      </w:r>
      <w:r w:rsidR="00374E58">
        <w:rPr>
          <w:rFonts w:ascii="Garamond" w:hAnsi="Garamond" w:cs="Times New Roman"/>
          <w:sz w:val="24"/>
          <w:szCs w:val="24"/>
        </w:rPr>
        <w:t>)</w:t>
      </w:r>
      <w:r w:rsidRPr="00885EFA">
        <w:rPr>
          <w:rStyle w:val="FootnoteReference"/>
          <w:rFonts w:ascii="Garamond" w:hAnsi="Garamond"/>
          <w:sz w:val="24"/>
          <w:szCs w:val="24"/>
        </w:rPr>
        <w:footnoteReference w:id="6"/>
      </w:r>
      <w:r w:rsidR="00F12A8B" w:rsidRPr="00885EFA">
        <w:rPr>
          <w:rFonts w:ascii="Garamond" w:hAnsi="Garamond" w:cs="Times New Roman"/>
          <w:sz w:val="24"/>
          <w:szCs w:val="24"/>
        </w:rPr>
        <w:t xml:space="preserve"> show that legislation is read by </w:t>
      </w:r>
      <w:r w:rsidRPr="00885EFA">
        <w:rPr>
          <w:rFonts w:ascii="Garamond" w:hAnsi="Garamond" w:cs="Times New Roman"/>
          <w:sz w:val="24"/>
          <w:szCs w:val="24"/>
        </w:rPr>
        <w:t>at least three categories of people</w:t>
      </w:r>
      <w:r w:rsidR="00325913" w:rsidRPr="00885EFA">
        <w:rPr>
          <w:rFonts w:ascii="Garamond" w:hAnsi="Garamond" w:cs="Times New Roman"/>
          <w:sz w:val="24"/>
          <w:szCs w:val="24"/>
        </w:rPr>
        <w:t xml:space="preserve">: </w:t>
      </w:r>
      <w:r w:rsidRPr="00885EFA">
        <w:rPr>
          <w:rFonts w:ascii="Garamond" w:hAnsi="Garamond" w:cs="Times New Roman"/>
          <w:sz w:val="24"/>
          <w:szCs w:val="24"/>
        </w:rPr>
        <w:t>lay persons reading the legislation to make it work for them</w:t>
      </w:r>
      <w:r w:rsidR="00F52CF2">
        <w:rPr>
          <w:rFonts w:ascii="Garamond" w:hAnsi="Garamond" w:cs="Times New Roman"/>
          <w:sz w:val="24"/>
          <w:szCs w:val="24"/>
        </w:rPr>
        <w:t xml:space="preserve"> </w:t>
      </w:r>
      <w:r w:rsidR="00F52CF2">
        <w:rPr>
          <w:rFonts w:ascii="Garamond" w:hAnsi="Garamond" w:cs="Times New Roman"/>
          <w:sz w:val="24"/>
          <w:szCs w:val="24"/>
        </w:rPr>
        <w:fldChar w:fldCharType="begin"/>
      </w:r>
      <w:r w:rsidR="00F52CF2">
        <w:rPr>
          <w:rFonts w:ascii="Garamond" w:hAnsi="Garamond" w:cs="Times New Roman"/>
          <w:sz w:val="24"/>
          <w:szCs w:val="24"/>
        </w:rPr>
        <w:instrText xml:space="preserve"> ADDIN ZOTERO_ITEM CSL_CITATION {"citationID":"zP0EBzAY","properties":{"formattedCitation":"(Gracia, 1995; Pi and Schmolka, 2000; Schmolka, 1995)","plainCitation":"(Gracia, 1995; Pi and Schmolka, 2000; Schmolka, 1995)","noteIndex":0},"citationItems":[{"id":3553,"uris":["http://zotero.org/users/1070015/items/P3FWVPNK"],"uri":["http://zotero.org/users/1070015/items/P3FWVPNK"],"itemData":{"id":3553,"type":"book","event-place":"Albany","publisher":"SUNY Press","publisher-place":"Albany","title":"A Theory of Textuality: The Logic and Epistemology","URL":"https://www.google.com/search?client=firefox-b-d&amp;q=A+Theory+of+Textuality%3A+The+Logic+and+Epistemology","author":[{"family":"Gracia","given":"J"}],"accessed":{"date-parts":[["2020",9,4]]},"issued":{"date-parts":[["1995"]]}}},{"id":3555,"uris":["http://zotero.org/users/1070015/items/SFLHA5C6"],"uri":["http://zotero.org/users/1070015/items/SFLHA5C6"],"itemData":{"id":3555,"type":"report","title":"A Report on Results of Usability Testing Research on Plain Language Draft Sections of the Employment Insurance Act: A Report  to Department of Justice Canada and Human Resources Development Canada","author":[{"family":"Pi","given":"G"},{"family":"Schmolka","given":"V"}],"issued":{"date-parts":[["2000"]]}}},{"id":3556,"uris":["http://zotero.org/users/1070015/items/TES42RKN"],"uri":["http://zotero.org/users/1070015/items/TES42RKN"],"itemData":{"id":3556,"type":"report","publisher":"Department of Justice","title":"Consumer Fireworks Regulations: Usability Testing, TR1195-2e","author":[{"family":"Schmolka","given":"V"}],"issued":{"date-parts":[["1995"]]}}}],"schema":"https://github.com/citation-style-language/schema/raw/master/csl-citation.json"} </w:instrText>
      </w:r>
      <w:r w:rsidR="00F52CF2">
        <w:rPr>
          <w:rFonts w:ascii="Garamond" w:hAnsi="Garamond" w:cs="Times New Roman"/>
          <w:sz w:val="24"/>
          <w:szCs w:val="24"/>
        </w:rPr>
        <w:fldChar w:fldCharType="separate"/>
      </w:r>
      <w:r w:rsidR="00F52CF2">
        <w:rPr>
          <w:rFonts w:ascii="Garamond" w:hAnsi="Garamond" w:cs="Times New Roman"/>
          <w:noProof/>
          <w:sz w:val="24"/>
          <w:szCs w:val="24"/>
        </w:rPr>
        <w:t>(Gracia, 1995; Pi and Schmolka, 2000; Schmolka, 1995)</w:t>
      </w:r>
      <w:r w:rsidR="00F52CF2">
        <w:rPr>
          <w:rFonts w:ascii="Garamond" w:hAnsi="Garamond" w:cs="Times New Roman"/>
          <w:sz w:val="24"/>
          <w:szCs w:val="24"/>
        </w:rPr>
        <w:fldChar w:fldCharType="end"/>
      </w:r>
      <w:r w:rsidRPr="00885EFA">
        <w:rPr>
          <w:rFonts w:ascii="Garamond" w:hAnsi="Garamond" w:cs="Times New Roman"/>
          <w:sz w:val="24"/>
          <w:szCs w:val="24"/>
        </w:rPr>
        <w:t>, sophisticated non-lawyers using the law in the process of their professional activities, and lawyers and judges</w:t>
      </w:r>
      <w:r w:rsidR="009E17D5">
        <w:rPr>
          <w:rFonts w:ascii="Garamond" w:hAnsi="Garamond" w:cs="Times New Roman"/>
          <w:sz w:val="24"/>
          <w:szCs w:val="24"/>
        </w:rPr>
        <w:t xml:space="preserve"> (see </w:t>
      </w:r>
      <w:proofErr w:type="spellStart"/>
      <w:r w:rsidR="009E17D5">
        <w:rPr>
          <w:rFonts w:ascii="Garamond" w:hAnsi="Garamond" w:cs="Times New Roman"/>
          <w:sz w:val="24"/>
          <w:szCs w:val="24"/>
        </w:rPr>
        <w:t>Bertlin</w:t>
      </w:r>
      <w:proofErr w:type="spellEnd"/>
      <w:r w:rsidR="009E17D5">
        <w:rPr>
          <w:rFonts w:ascii="Garamond" w:hAnsi="Garamond" w:cs="Times New Roman"/>
          <w:sz w:val="24"/>
          <w:szCs w:val="24"/>
        </w:rPr>
        <w:t>, 2014, pp. 27-28)</w:t>
      </w:r>
      <w:r w:rsidRPr="00885EFA">
        <w:rPr>
          <w:rFonts w:ascii="Garamond" w:hAnsi="Garamond" w:cs="Times New Roman"/>
          <w:sz w:val="24"/>
          <w:szCs w:val="24"/>
        </w:rPr>
        <w:t xml:space="preserve">. </w:t>
      </w:r>
      <w:r w:rsidRPr="00885EFA">
        <w:rPr>
          <w:rFonts w:ascii="Garamond" w:hAnsi="Garamond" w:cs="Times New Roman"/>
          <w:spacing w:val="-2"/>
          <w:sz w:val="24"/>
          <w:szCs w:val="24"/>
        </w:rPr>
        <w:t>This is a r</w:t>
      </w:r>
      <w:r w:rsidR="00325913" w:rsidRPr="00885EFA">
        <w:rPr>
          <w:rFonts w:ascii="Garamond" w:hAnsi="Garamond" w:cs="Times New Roman"/>
          <w:spacing w:val="-2"/>
          <w:sz w:val="24"/>
          <w:szCs w:val="24"/>
        </w:rPr>
        <w:t xml:space="preserve">eal legislative revelation that has led to legislative </w:t>
      </w:r>
      <w:r w:rsidRPr="00885EFA">
        <w:rPr>
          <w:rFonts w:ascii="Garamond" w:hAnsi="Garamond" w:cs="Times New Roman"/>
          <w:spacing w:val="-2"/>
          <w:sz w:val="24"/>
          <w:szCs w:val="24"/>
        </w:rPr>
        <w:t>revolution. Identifying the users of legislation has led to not one but two earthquakes. First, the law does not speak to lawyers alone. Second, the law does not speak to the ‘average man’.</w:t>
      </w:r>
    </w:p>
    <w:p w14:paraId="2159581C" w14:textId="77777777" w:rsidR="003A5F6E" w:rsidRPr="005D18E8" w:rsidRDefault="003A5F6E" w:rsidP="00182B95">
      <w:pPr>
        <w:pStyle w:val="Heading2"/>
        <w:rPr>
          <w:rFonts w:eastAsia="Arial"/>
          <w:color w:val="000000"/>
        </w:rPr>
      </w:pPr>
      <w:r w:rsidRPr="005D18E8">
        <w:t>Gender in legislative drafting</w:t>
      </w:r>
    </w:p>
    <w:p w14:paraId="7B95F7DF" w14:textId="7F5F2887" w:rsidR="00B76173" w:rsidRPr="00885EFA" w:rsidRDefault="00B76173" w:rsidP="00A844FC">
      <w:pPr>
        <w:spacing w:line="480" w:lineRule="auto"/>
        <w:rPr>
          <w:rFonts w:ascii="Garamond" w:hAnsi="Garamond" w:cs="Times New Roman"/>
          <w:bCs/>
          <w:iCs/>
          <w:sz w:val="24"/>
          <w:szCs w:val="24"/>
          <w:lang w:val="en-US"/>
        </w:rPr>
      </w:pPr>
      <w:r w:rsidRPr="00885EFA">
        <w:rPr>
          <w:rFonts w:ascii="Garamond" w:hAnsi="Garamond" w:cs="Times New Roman"/>
          <w:sz w:val="24"/>
          <w:szCs w:val="24"/>
        </w:rPr>
        <w:t>The expression of g</w:t>
      </w:r>
      <w:r w:rsidR="008723AB" w:rsidRPr="00885EFA">
        <w:rPr>
          <w:rFonts w:ascii="Garamond" w:hAnsi="Garamond" w:cs="Times New Roman"/>
          <w:sz w:val="24"/>
          <w:szCs w:val="24"/>
        </w:rPr>
        <w:t xml:space="preserve">ender </w:t>
      </w:r>
      <w:r w:rsidRPr="00885EFA">
        <w:rPr>
          <w:rFonts w:ascii="Garamond" w:hAnsi="Garamond" w:cs="Times New Roman"/>
          <w:sz w:val="24"/>
          <w:szCs w:val="24"/>
        </w:rPr>
        <w:t xml:space="preserve">in </w:t>
      </w:r>
      <w:r w:rsidR="008723AB" w:rsidRPr="00885EFA">
        <w:rPr>
          <w:rFonts w:ascii="Garamond" w:hAnsi="Garamond" w:cs="Times New Roman"/>
          <w:sz w:val="24"/>
          <w:szCs w:val="24"/>
        </w:rPr>
        <w:t xml:space="preserve">legislative studies </w:t>
      </w:r>
      <w:r w:rsidRPr="00885EFA">
        <w:rPr>
          <w:rFonts w:ascii="Garamond" w:hAnsi="Garamond" w:cs="Times New Roman"/>
          <w:sz w:val="24"/>
          <w:szCs w:val="24"/>
        </w:rPr>
        <w:t xml:space="preserve">remains </w:t>
      </w:r>
      <w:r w:rsidR="008723AB" w:rsidRPr="00885EFA">
        <w:rPr>
          <w:rFonts w:ascii="Garamond" w:hAnsi="Garamond" w:cs="Times New Roman"/>
          <w:sz w:val="24"/>
          <w:szCs w:val="24"/>
        </w:rPr>
        <w:t>in the periphery</w:t>
      </w:r>
      <w:r w:rsidRPr="00885EFA">
        <w:rPr>
          <w:rFonts w:ascii="Garamond" w:hAnsi="Garamond" w:cs="Times New Roman"/>
          <w:sz w:val="24"/>
          <w:szCs w:val="24"/>
        </w:rPr>
        <w:t xml:space="preserve"> of plain language or, more recently, clarity debates</w:t>
      </w:r>
      <w:r w:rsidR="008723AB" w:rsidRPr="00885EFA">
        <w:rPr>
          <w:rFonts w:ascii="Garamond" w:hAnsi="Garamond" w:cs="Times New Roman"/>
          <w:sz w:val="24"/>
          <w:szCs w:val="24"/>
        </w:rPr>
        <w:t>.</w:t>
      </w:r>
      <w:r w:rsidRPr="00885EFA">
        <w:rPr>
          <w:rStyle w:val="FootnoteReference"/>
          <w:rFonts w:ascii="Garamond" w:hAnsi="Garamond"/>
          <w:sz w:val="24"/>
          <w:szCs w:val="24"/>
        </w:rPr>
        <w:footnoteReference w:id="7"/>
      </w:r>
      <w:r w:rsidRPr="00885EFA">
        <w:rPr>
          <w:rFonts w:ascii="Garamond" w:hAnsi="Garamond" w:cs="Times New Roman"/>
          <w:sz w:val="24"/>
          <w:szCs w:val="24"/>
        </w:rPr>
        <w:t xml:space="preserve"> </w:t>
      </w:r>
      <w:r w:rsidR="00172B9F" w:rsidRPr="00885EFA">
        <w:rPr>
          <w:rFonts w:ascii="Garamond" w:hAnsi="Garamond" w:cs="Times New Roman"/>
          <w:bCs/>
          <w:iCs/>
          <w:sz w:val="24"/>
          <w:szCs w:val="24"/>
          <w:lang w:val="en-US"/>
        </w:rPr>
        <w:t>Gender-neutral</w:t>
      </w:r>
      <w:r w:rsidR="006F6D71" w:rsidRPr="00885EFA">
        <w:rPr>
          <w:rFonts w:ascii="Garamond" w:hAnsi="Garamond" w:cs="Times New Roman"/>
          <w:bCs/>
          <w:iCs/>
          <w:sz w:val="24"/>
          <w:szCs w:val="24"/>
          <w:lang w:val="en-US"/>
        </w:rPr>
        <w:t xml:space="preserve"> language (</w:t>
      </w:r>
      <w:r w:rsidR="00015720" w:rsidRPr="00885EFA">
        <w:rPr>
          <w:rFonts w:ascii="Garamond" w:hAnsi="Garamond" w:cs="Times New Roman"/>
          <w:bCs/>
          <w:iCs/>
          <w:sz w:val="24"/>
          <w:szCs w:val="24"/>
          <w:lang w:val="en-US"/>
        </w:rPr>
        <w:t>GNL</w:t>
      </w:r>
      <w:r w:rsidR="006F6D71" w:rsidRPr="00885EFA">
        <w:rPr>
          <w:rFonts w:ascii="Garamond" w:hAnsi="Garamond" w:cs="Times New Roman"/>
          <w:bCs/>
          <w:iCs/>
          <w:sz w:val="24"/>
          <w:szCs w:val="24"/>
          <w:lang w:val="en-US"/>
        </w:rPr>
        <w:t xml:space="preserve">) refers to </w:t>
      </w:r>
      <w:r w:rsidR="00172B9F" w:rsidRPr="00885EFA">
        <w:rPr>
          <w:rFonts w:ascii="Garamond" w:hAnsi="Garamond" w:cs="Times New Roman"/>
          <w:bCs/>
          <w:iCs/>
          <w:sz w:val="24"/>
          <w:szCs w:val="24"/>
          <w:lang w:val="en-US"/>
        </w:rPr>
        <w:t>language that</w:t>
      </w:r>
      <w:r w:rsidR="006F6D71" w:rsidRPr="00885EFA">
        <w:rPr>
          <w:rFonts w:ascii="Garamond" w:hAnsi="Garamond" w:cs="Times New Roman"/>
          <w:bCs/>
          <w:iCs/>
          <w:sz w:val="24"/>
          <w:szCs w:val="24"/>
          <w:lang w:val="en-US"/>
        </w:rPr>
        <w:t xml:space="preserve"> includes </w:t>
      </w:r>
      <w:r w:rsidR="007A6E03" w:rsidRPr="00885EFA">
        <w:rPr>
          <w:rFonts w:ascii="Garamond" w:hAnsi="Garamond" w:cs="Times New Roman"/>
          <w:bCs/>
          <w:iCs/>
          <w:sz w:val="24"/>
          <w:szCs w:val="24"/>
          <w:lang w:val="en-US"/>
        </w:rPr>
        <w:t>all</w:t>
      </w:r>
      <w:r w:rsidR="006F6D71" w:rsidRPr="00885EFA">
        <w:rPr>
          <w:rFonts w:ascii="Garamond" w:hAnsi="Garamond" w:cs="Times New Roman"/>
          <w:bCs/>
          <w:iCs/>
          <w:sz w:val="24"/>
          <w:szCs w:val="24"/>
          <w:lang w:val="en-US"/>
        </w:rPr>
        <w:t xml:space="preserve"> sexes and treats </w:t>
      </w:r>
      <w:r w:rsidR="006F6D71" w:rsidRPr="006B5B86">
        <w:rPr>
          <w:rFonts w:ascii="Garamond" w:hAnsi="Garamond" w:cs="Times New Roman"/>
          <w:bCs/>
          <w:iCs/>
          <w:sz w:val="24"/>
          <w:szCs w:val="24"/>
          <w:lang w:val="en-US"/>
        </w:rPr>
        <w:t xml:space="preserve">women and </w:t>
      </w:r>
      <w:r w:rsidR="006F6D71" w:rsidRPr="00834D0F">
        <w:rPr>
          <w:rFonts w:ascii="Garamond" w:hAnsi="Garamond" w:cs="Times New Roman"/>
          <w:bCs/>
          <w:iCs/>
          <w:sz w:val="24"/>
          <w:szCs w:val="24"/>
          <w:lang w:val="en-US"/>
        </w:rPr>
        <w:t>men equally</w:t>
      </w:r>
      <w:r w:rsidR="009E2234" w:rsidRPr="00834D0F">
        <w:rPr>
          <w:rFonts w:ascii="Garamond" w:hAnsi="Garamond" w:cs="Times New Roman"/>
          <w:bCs/>
          <w:iCs/>
          <w:sz w:val="24"/>
          <w:szCs w:val="24"/>
          <w:lang w:val="en-US"/>
        </w:rPr>
        <w:t xml:space="preserve"> </w:t>
      </w:r>
      <w:r w:rsidR="009E2234" w:rsidRPr="003C40F8">
        <w:rPr>
          <w:rFonts w:ascii="Garamond" w:hAnsi="Garamond" w:cs="Times New Roman"/>
          <w:bCs/>
          <w:iCs/>
          <w:sz w:val="24"/>
          <w:szCs w:val="24"/>
          <w:lang w:val="en-US"/>
        </w:rPr>
        <w:fldChar w:fldCharType="begin"/>
      </w:r>
      <w:r w:rsidR="00BD5739" w:rsidRPr="003C40F8">
        <w:rPr>
          <w:rFonts w:ascii="Garamond" w:hAnsi="Garamond" w:cs="Times New Roman"/>
          <w:bCs/>
          <w:iCs/>
          <w:sz w:val="24"/>
          <w:szCs w:val="24"/>
          <w:lang w:val="en-US"/>
        </w:rPr>
        <w:instrText xml:space="preserve"> ADDIN ZOTERO_ITEM CSL_CITATION {"citationID":"T92Ggt8M","properties":{"formattedCitation":"(Greenberg, 2008)","plainCitation":"(Greenberg, 2008)","noteIndex":0},"citationItems":[{"id":3557,"uris":["http://zotero.org/users/1070015/items/GG7DNT5R"],"uri":["http://zotero.org/users/1070015/items/GG7DNT5R"],"itemData":{"id":3557,"type":"chapter","container-title":"Drafting Legislation: A Modern Approach","event-place":"Aldershot","page":"63","publisher":"Ashgate","publisher-place":"Aldershot","title":"The Techniques of Gender Neutral Drafting","author":[{"family":"Greenberg","given":"Daniel"}],"issued":{"date-parts":[["2008"]]}}}],"schema":"https://github.com/citation-style-language/schema/raw/master/csl-citation.json"} </w:instrText>
      </w:r>
      <w:r w:rsidR="009E2234" w:rsidRPr="003C40F8">
        <w:rPr>
          <w:rFonts w:ascii="Garamond" w:hAnsi="Garamond" w:cs="Times New Roman"/>
          <w:bCs/>
          <w:iCs/>
          <w:sz w:val="24"/>
          <w:szCs w:val="24"/>
          <w:lang w:val="en-US"/>
        </w:rPr>
        <w:fldChar w:fldCharType="separate"/>
      </w:r>
      <w:r w:rsidR="00BD5739" w:rsidRPr="003C40F8">
        <w:rPr>
          <w:rFonts w:ascii="Garamond" w:hAnsi="Garamond" w:cs="Times New Roman"/>
          <w:bCs/>
          <w:iCs/>
          <w:noProof/>
          <w:sz w:val="24"/>
          <w:szCs w:val="24"/>
          <w:lang w:val="en-US"/>
        </w:rPr>
        <w:t>(Greenberg, 2008</w:t>
      </w:r>
      <w:r w:rsidR="00834D0F" w:rsidRPr="003C40F8">
        <w:rPr>
          <w:rFonts w:ascii="Garamond" w:hAnsi="Garamond" w:cs="Times New Roman"/>
          <w:bCs/>
          <w:iCs/>
          <w:noProof/>
          <w:sz w:val="24"/>
          <w:szCs w:val="24"/>
          <w:lang w:val="en-US"/>
        </w:rPr>
        <w:t>a</w:t>
      </w:r>
      <w:r w:rsidR="00BD5739" w:rsidRPr="003C40F8">
        <w:rPr>
          <w:rFonts w:ascii="Garamond" w:hAnsi="Garamond" w:cs="Times New Roman"/>
          <w:bCs/>
          <w:iCs/>
          <w:noProof/>
          <w:sz w:val="24"/>
          <w:szCs w:val="24"/>
          <w:lang w:val="en-US"/>
        </w:rPr>
        <w:t>)</w:t>
      </w:r>
      <w:r w:rsidR="009E2234" w:rsidRPr="003C40F8">
        <w:rPr>
          <w:rFonts w:ascii="Garamond" w:hAnsi="Garamond" w:cs="Times New Roman"/>
          <w:bCs/>
          <w:iCs/>
          <w:sz w:val="24"/>
          <w:szCs w:val="24"/>
          <w:lang w:val="en-US"/>
        </w:rPr>
        <w:fldChar w:fldCharType="end"/>
      </w:r>
      <w:r w:rsidR="006F6D71" w:rsidRPr="003C40F8">
        <w:rPr>
          <w:rFonts w:ascii="Garamond" w:hAnsi="Garamond" w:cs="Times New Roman"/>
          <w:bCs/>
          <w:iCs/>
          <w:sz w:val="24"/>
          <w:szCs w:val="24"/>
          <w:lang w:val="en-US"/>
        </w:rPr>
        <w:t>.</w:t>
      </w:r>
      <w:r w:rsidR="006C781A" w:rsidRPr="00885EFA">
        <w:rPr>
          <w:rStyle w:val="FootnoteReference"/>
          <w:rFonts w:ascii="Garamond" w:hAnsi="Garamond" w:cs="Times New Roman"/>
          <w:bCs/>
          <w:iCs/>
          <w:sz w:val="24"/>
          <w:szCs w:val="24"/>
        </w:rPr>
        <w:t xml:space="preserve"> </w:t>
      </w:r>
      <w:r w:rsidR="00BD5739">
        <w:rPr>
          <w:rFonts w:ascii="Garamond" w:hAnsi="Garamond"/>
          <w:sz w:val="24"/>
          <w:szCs w:val="24"/>
        </w:rPr>
        <w:t xml:space="preserve"> </w:t>
      </w:r>
      <w:r w:rsidR="006F6D71" w:rsidRPr="00885EFA">
        <w:rPr>
          <w:rFonts w:ascii="Garamond" w:hAnsi="Garamond" w:cs="Times New Roman"/>
          <w:bCs/>
          <w:iCs/>
          <w:sz w:val="24"/>
          <w:szCs w:val="24"/>
          <w:lang w:val="en-US"/>
        </w:rPr>
        <w:t xml:space="preserve">Traditionally, in our society, men have been the dominant force and our language has developed in ways </w:t>
      </w:r>
      <w:r w:rsidR="006C781A" w:rsidRPr="00885EFA">
        <w:rPr>
          <w:rFonts w:ascii="Garamond" w:hAnsi="Garamond" w:cs="Times New Roman"/>
          <w:bCs/>
          <w:iCs/>
          <w:sz w:val="24"/>
          <w:szCs w:val="24"/>
          <w:lang w:val="en-US"/>
        </w:rPr>
        <w:t xml:space="preserve">that </w:t>
      </w:r>
      <w:r w:rsidR="006F6D71" w:rsidRPr="00885EFA">
        <w:rPr>
          <w:rFonts w:ascii="Garamond" w:hAnsi="Garamond" w:cs="Times New Roman"/>
          <w:bCs/>
          <w:iCs/>
          <w:sz w:val="24"/>
          <w:szCs w:val="24"/>
          <w:lang w:val="en-US"/>
        </w:rPr>
        <w:t xml:space="preserve">reflect male dominance, sometimes to the total exclusion of women. Gender-neutral language, also called non-sexist, non-gender-specific, or inclusive language, attempts to redress </w:t>
      </w:r>
      <w:r w:rsidR="006F6D71" w:rsidRPr="006B5B86">
        <w:rPr>
          <w:rFonts w:ascii="Garamond" w:hAnsi="Garamond" w:cs="Times New Roman"/>
          <w:bCs/>
          <w:iCs/>
          <w:sz w:val="24"/>
          <w:szCs w:val="24"/>
          <w:lang w:val="en-US"/>
        </w:rPr>
        <w:t>the balance.</w:t>
      </w:r>
      <w:r w:rsidR="00271B57">
        <w:rPr>
          <w:rStyle w:val="FootnoteReference"/>
          <w:rFonts w:ascii="Garamond" w:hAnsi="Garamond" w:cs="Times New Roman"/>
          <w:bCs/>
          <w:iCs/>
          <w:sz w:val="24"/>
          <w:szCs w:val="24"/>
          <w:lang w:val="en-US"/>
        </w:rPr>
        <w:footnoteReference w:id="8"/>
      </w:r>
      <w:bookmarkStart w:id="0" w:name="_GoBack"/>
      <w:bookmarkEnd w:id="0"/>
      <w:r w:rsidR="00AF1C6E" w:rsidRPr="00885EFA">
        <w:rPr>
          <w:rFonts w:ascii="Garamond" w:hAnsi="Garamond" w:cs="Times New Roman"/>
          <w:bCs/>
          <w:iCs/>
          <w:sz w:val="24"/>
          <w:szCs w:val="24"/>
          <w:lang w:val="en-US"/>
        </w:rPr>
        <w:t xml:space="preserve"> </w:t>
      </w:r>
      <w:r w:rsidR="006F6D71" w:rsidRPr="00885EFA">
        <w:rPr>
          <w:rFonts w:ascii="Garamond" w:hAnsi="Garamond" w:cs="Times New Roman"/>
          <w:bCs/>
          <w:iCs/>
          <w:sz w:val="24"/>
          <w:szCs w:val="24"/>
        </w:rPr>
        <w:t xml:space="preserve">Admittedly, the mere reference to </w:t>
      </w:r>
      <w:r w:rsidR="00015720" w:rsidRPr="00885EFA">
        <w:rPr>
          <w:rFonts w:ascii="Garamond" w:hAnsi="Garamond" w:cs="Times New Roman"/>
          <w:bCs/>
          <w:iCs/>
          <w:sz w:val="24"/>
          <w:szCs w:val="24"/>
        </w:rPr>
        <w:t>GND</w:t>
      </w:r>
      <w:r w:rsidR="006F6D71" w:rsidRPr="00885EFA">
        <w:rPr>
          <w:rFonts w:ascii="Garamond" w:hAnsi="Garamond" w:cs="Times New Roman"/>
          <w:bCs/>
          <w:iCs/>
          <w:sz w:val="24"/>
          <w:szCs w:val="24"/>
        </w:rPr>
        <w:t xml:space="preserve"> seems to bring many a drafter around the Commonwealth to covert amusement</w:t>
      </w:r>
      <w:r w:rsidR="00734B2C">
        <w:rPr>
          <w:rFonts w:ascii="Garamond" w:hAnsi="Garamond" w:cs="Times New Roman"/>
          <w:bCs/>
          <w:iCs/>
          <w:sz w:val="24"/>
          <w:szCs w:val="24"/>
        </w:rPr>
        <w:t xml:space="preserve"> </w:t>
      </w:r>
      <w:r w:rsidR="00734B2C">
        <w:rPr>
          <w:rFonts w:ascii="Garamond" w:hAnsi="Garamond" w:cs="Times New Roman"/>
          <w:bCs/>
          <w:iCs/>
          <w:sz w:val="24"/>
          <w:szCs w:val="24"/>
        </w:rPr>
        <w:fldChar w:fldCharType="begin"/>
      </w:r>
      <w:r w:rsidR="00D42E1F">
        <w:rPr>
          <w:rFonts w:ascii="Garamond" w:hAnsi="Garamond" w:cs="Times New Roman"/>
          <w:bCs/>
          <w:iCs/>
          <w:sz w:val="24"/>
          <w:szCs w:val="24"/>
        </w:rPr>
        <w:instrText xml:space="preserve"> ADDIN ZOTERO_ITEM CSL_CITATION {"citationID":"wMt0qMzP","properties":{"formattedCitation":"(Hill, 1992)","plainCitation":"(Hill, 1992)","noteIndex":0},"citationItems":[{"id":3561,"uris":["http://zotero.org/users/1070015/items/3ZVCC62B"],"uri":["http://zotero.org/users/1070015/items/3ZVCC62B"],"itemData":{"id":3561,"type":"article-journal","container-title":"Washington and Lee Law Review","language":"en","page":"275","source":"Zotero","title":"A Need For The Use Of Nonsexist Language In The Courts","volume":"49","author":[{"family":"Hill","given":"William B"}],"issued":{"date-parts":[["1992"]]}}}],"schema":"https://github.com/citation-style-language/schema/raw/master/csl-citation.json"} </w:instrText>
      </w:r>
      <w:r w:rsidR="00734B2C">
        <w:rPr>
          <w:rFonts w:ascii="Garamond" w:hAnsi="Garamond" w:cs="Times New Roman"/>
          <w:bCs/>
          <w:iCs/>
          <w:sz w:val="24"/>
          <w:szCs w:val="24"/>
        </w:rPr>
        <w:fldChar w:fldCharType="separate"/>
      </w:r>
      <w:r w:rsidR="00D42E1F">
        <w:rPr>
          <w:rFonts w:ascii="Garamond" w:hAnsi="Garamond" w:cs="Times New Roman"/>
          <w:bCs/>
          <w:iCs/>
          <w:noProof/>
          <w:sz w:val="24"/>
          <w:szCs w:val="24"/>
        </w:rPr>
        <w:t>(Hill, 1992)</w:t>
      </w:r>
      <w:r w:rsidR="00734B2C">
        <w:rPr>
          <w:rFonts w:ascii="Garamond" w:hAnsi="Garamond" w:cs="Times New Roman"/>
          <w:bCs/>
          <w:iCs/>
          <w:sz w:val="24"/>
          <w:szCs w:val="24"/>
        </w:rPr>
        <w:fldChar w:fldCharType="end"/>
      </w:r>
      <w:r w:rsidR="006F6D71" w:rsidRPr="00885EFA">
        <w:rPr>
          <w:rFonts w:ascii="Garamond" w:hAnsi="Garamond" w:cs="Times New Roman"/>
          <w:bCs/>
          <w:iCs/>
          <w:sz w:val="24"/>
          <w:szCs w:val="24"/>
        </w:rPr>
        <w:t xml:space="preserve">. It is often ridiculed as one more feminist invasion in legislative drafting, and it is often justified by reference to the provision common in many Interpretation </w:t>
      </w:r>
      <w:r w:rsidR="00172B9F" w:rsidRPr="00885EFA">
        <w:rPr>
          <w:rFonts w:ascii="Garamond" w:hAnsi="Garamond" w:cs="Times New Roman"/>
          <w:bCs/>
          <w:iCs/>
          <w:sz w:val="24"/>
          <w:szCs w:val="24"/>
        </w:rPr>
        <w:t>Acts that</w:t>
      </w:r>
      <w:r w:rsidR="006F6D71" w:rsidRPr="00885EFA">
        <w:rPr>
          <w:rFonts w:ascii="Garamond" w:hAnsi="Garamond" w:cs="Times New Roman"/>
          <w:bCs/>
          <w:iCs/>
          <w:sz w:val="24"/>
          <w:szCs w:val="24"/>
        </w:rPr>
        <w:t xml:space="preserve"> foresee that ‘“he” includes “she”’.</w:t>
      </w:r>
      <w:r w:rsidRPr="00885EFA">
        <w:rPr>
          <w:rFonts w:ascii="Garamond" w:hAnsi="Garamond" w:cs="Times New Roman"/>
          <w:bCs/>
          <w:iCs/>
          <w:sz w:val="24"/>
          <w:szCs w:val="24"/>
        </w:rPr>
        <w:t xml:space="preserve"> </w:t>
      </w:r>
    </w:p>
    <w:p w14:paraId="43530DB6" w14:textId="193B7B8C" w:rsidR="00B76173" w:rsidRPr="00885EFA" w:rsidRDefault="00B76173" w:rsidP="00A844FC">
      <w:pPr>
        <w:tabs>
          <w:tab w:val="num" w:pos="720"/>
        </w:tabs>
        <w:spacing w:line="480" w:lineRule="auto"/>
        <w:rPr>
          <w:rFonts w:ascii="Garamond" w:hAnsi="Garamond" w:cs="Times New Roman"/>
          <w:sz w:val="24"/>
          <w:szCs w:val="24"/>
        </w:rPr>
      </w:pPr>
      <w:r w:rsidRPr="00885EFA">
        <w:rPr>
          <w:rFonts w:ascii="Garamond" w:hAnsi="Garamond" w:cs="Times New Roman"/>
          <w:bCs/>
          <w:iCs/>
          <w:sz w:val="24"/>
          <w:szCs w:val="24"/>
        </w:rPr>
        <w:tab/>
      </w:r>
      <w:r w:rsidR="006C781A" w:rsidRPr="00885EFA">
        <w:rPr>
          <w:rFonts w:ascii="Garamond" w:hAnsi="Garamond" w:cs="Times New Roman"/>
          <w:sz w:val="24"/>
          <w:szCs w:val="24"/>
        </w:rPr>
        <w:t>Gender Inclusive Language (</w:t>
      </w:r>
      <w:r w:rsidR="00015720" w:rsidRPr="00885EFA">
        <w:rPr>
          <w:rFonts w:ascii="Garamond" w:hAnsi="Garamond" w:cs="Times New Roman"/>
          <w:sz w:val="24"/>
          <w:szCs w:val="24"/>
        </w:rPr>
        <w:t>GIL</w:t>
      </w:r>
      <w:r w:rsidR="006C781A" w:rsidRPr="00885EFA">
        <w:rPr>
          <w:rFonts w:ascii="Garamond" w:hAnsi="Garamond" w:cs="Times New Roman"/>
          <w:sz w:val="24"/>
          <w:szCs w:val="24"/>
        </w:rPr>
        <w:t xml:space="preserve">) </w:t>
      </w:r>
      <w:r w:rsidR="006F6D71" w:rsidRPr="00885EFA">
        <w:rPr>
          <w:rFonts w:ascii="Garamond" w:hAnsi="Garamond" w:cs="Times New Roman"/>
          <w:sz w:val="24"/>
          <w:szCs w:val="24"/>
        </w:rPr>
        <w:t xml:space="preserve">language </w:t>
      </w:r>
      <w:r w:rsidR="006C781A" w:rsidRPr="00885EFA">
        <w:rPr>
          <w:rFonts w:ascii="Garamond" w:hAnsi="Garamond" w:cs="Times New Roman"/>
          <w:sz w:val="24"/>
          <w:szCs w:val="24"/>
        </w:rPr>
        <w:t xml:space="preserve">takes the argument further. In an attempt to put </w:t>
      </w:r>
      <w:r w:rsidR="00491089">
        <w:rPr>
          <w:rFonts w:ascii="Garamond" w:hAnsi="Garamond" w:cs="Times New Roman"/>
          <w:sz w:val="24"/>
          <w:szCs w:val="24"/>
        </w:rPr>
        <w:t>in</w:t>
      </w:r>
      <w:r w:rsidR="006C781A" w:rsidRPr="00885EFA">
        <w:rPr>
          <w:rFonts w:ascii="Garamond" w:hAnsi="Garamond" w:cs="Times New Roman"/>
          <w:sz w:val="24"/>
          <w:szCs w:val="24"/>
        </w:rPr>
        <w:t>to effect the principle that every citizen is equal before the eyes of the law, it aims to delete</w:t>
      </w:r>
      <w:r w:rsidR="001B518F" w:rsidRPr="00885EFA">
        <w:rPr>
          <w:rFonts w:ascii="Garamond" w:hAnsi="Garamond" w:cs="Times New Roman"/>
          <w:sz w:val="24"/>
          <w:szCs w:val="24"/>
        </w:rPr>
        <w:t xml:space="preserve"> sex and</w:t>
      </w:r>
      <w:r w:rsidR="006C781A" w:rsidRPr="00885EFA">
        <w:rPr>
          <w:rFonts w:ascii="Garamond" w:hAnsi="Garamond" w:cs="Times New Roman"/>
          <w:sz w:val="24"/>
          <w:szCs w:val="24"/>
        </w:rPr>
        <w:t xml:space="preserve"> gender from the expression of the subjects of legislation. </w:t>
      </w:r>
      <w:r w:rsidR="00172B9F" w:rsidRPr="00885EFA">
        <w:rPr>
          <w:rFonts w:ascii="Garamond" w:hAnsi="Garamond" w:cs="Times New Roman"/>
          <w:sz w:val="24"/>
          <w:szCs w:val="24"/>
        </w:rPr>
        <w:t>Therefore</w:t>
      </w:r>
      <w:r w:rsidR="006C781A" w:rsidRPr="00885EFA">
        <w:rPr>
          <w:rFonts w:ascii="Garamond" w:hAnsi="Garamond" w:cs="Times New Roman"/>
          <w:sz w:val="24"/>
          <w:szCs w:val="24"/>
        </w:rPr>
        <w:t xml:space="preserve">, instead of ensuring </w:t>
      </w:r>
      <w:r w:rsidR="006C781A" w:rsidRPr="00885EFA">
        <w:rPr>
          <w:rFonts w:ascii="Garamond" w:hAnsi="Garamond" w:cs="Times New Roman"/>
          <w:sz w:val="24"/>
          <w:szCs w:val="24"/>
        </w:rPr>
        <w:lastRenderedPageBreak/>
        <w:t xml:space="preserve">that both men and women are within the scope of legislative expression, as is the case with </w:t>
      </w:r>
      <w:r w:rsidR="00015720" w:rsidRPr="00885EFA">
        <w:rPr>
          <w:rFonts w:ascii="Garamond" w:hAnsi="Garamond" w:cs="Times New Roman"/>
          <w:sz w:val="24"/>
          <w:szCs w:val="24"/>
        </w:rPr>
        <w:t>GNL</w:t>
      </w:r>
      <w:r w:rsidR="006C781A" w:rsidRPr="00885EFA">
        <w:rPr>
          <w:rFonts w:ascii="Garamond" w:hAnsi="Garamond" w:cs="Times New Roman"/>
          <w:sz w:val="24"/>
          <w:szCs w:val="24"/>
        </w:rPr>
        <w:t xml:space="preserve">, </w:t>
      </w:r>
      <w:r w:rsidR="00015720" w:rsidRPr="00885EFA">
        <w:rPr>
          <w:rFonts w:ascii="Garamond" w:hAnsi="Garamond" w:cs="Times New Roman"/>
          <w:sz w:val="24"/>
          <w:szCs w:val="24"/>
        </w:rPr>
        <w:t>GIL</w:t>
      </w:r>
      <w:r w:rsidR="006C781A" w:rsidRPr="00885EFA">
        <w:rPr>
          <w:rFonts w:ascii="Garamond" w:hAnsi="Garamond" w:cs="Times New Roman"/>
          <w:sz w:val="24"/>
          <w:szCs w:val="24"/>
        </w:rPr>
        <w:t xml:space="preserve"> aims to eliminate the consideration of </w:t>
      </w:r>
      <w:r w:rsidR="001B518F" w:rsidRPr="00885EFA">
        <w:rPr>
          <w:rFonts w:ascii="Garamond" w:hAnsi="Garamond" w:cs="Times New Roman"/>
          <w:sz w:val="24"/>
          <w:szCs w:val="24"/>
        </w:rPr>
        <w:t xml:space="preserve">sex and </w:t>
      </w:r>
      <w:r w:rsidR="006C781A" w:rsidRPr="00885EFA">
        <w:rPr>
          <w:rFonts w:ascii="Garamond" w:hAnsi="Garamond" w:cs="Times New Roman"/>
          <w:sz w:val="24"/>
          <w:szCs w:val="24"/>
        </w:rPr>
        <w:t xml:space="preserve">gender altogether. As a result, it differs from </w:t>
      </w:r>
      <w:r w:rsidR="00015720" w:rsidRPr="00885EFA">
        <w:rPr>
          <w:rFonts w:ascii="Garamond" w:hAnsi="Garamond" w:cs="Times New Roman"/>
          <w:sz w:val="24"/>
          <w:szCs w:val="24"/>
        </w:rPr>
        <w:t>GNL</w:t>
      </w:r>
      <w:r w:rsidR="006C781A" w:rsidRPr="00885EFA">
        <w:rPr>
          <w:rFonts w:ascii="Garamond" w:hAnsi="Garamond" w:cs="Times New Roman"/>
          <w:sz w:val="24"/>
          <w:szCs w:val="24"/>
        </w:rPr>
        <w:t xml:space="preserve"> in that </w:t>
      </w:r>
      <w:r w:rsidR="00601FD1" w:rsidRPr="00885EFA">
        <w:rPr>
          <w:rFonts w:ascii="Garamond" w:hAnsi="Garamond" w:cs="Times New Roman"/>
          <w:sz w:val="24"/>
          <w:szCs w:val="24"/>
        </w:rPr>
        <w:t xml:space="preserve">it </w:t>
      </w:r>
      <w:r w:rsidR="001B518F" w:rsidRPr="00885EFA">
        <w:rPr>
          <w:rFonts w:ascii="Garamond" w:hAnsi="Garamond" w:cs="Times New Roman"/>
          <w:sz w:val="24"/>
          <w:szCs w:val="24"/>
        </w:rPr>
        <w:t>avoids any classification of sex and gender</w:t>
      </w:r>
      <w:r w:rsidR="00601FD1" w:rsidRPr="00885EFA">
        <w:rPr>
          <w:rFonts w:ascii="Garamond" w:hAnsi="Garamond" w:cs="Times New Roman"/>
          <w:sz w:val="24"/>
          <w:szCs w:val="24"/>
        </w:rPr>
        <w:t xml:space="preserve">. With </w:t>
      </w:r>
      <w:r w:rsidR="00015720" w:rsidRPr="00885EFA">
        <w:rPr>
          <w:rFonts w:ascii="Garamond" w:hAnsi="Garamond" w:cs="Times New Roman"/>
          <w:sz w:val="24"/>
          <w:szCs w:val="24"/>
        </w:rPr>
        <w:t>GIL</w:t>
      </w:r>
      <w:r w:rsidR="00601FD1" w:rsidRPr="00885EFA">
        <w:rPr>
          <w:rFonts w:ascii="Garamond" w:hAnsi="Garamond" w:cs="Times New Roman"/>
          <w:sz w:val="24"/>
          <w:szCs w:val="24"/>
        </w:rPr>
        <w:t xml:space="preserve"> the subject does not need to </w:t>
      </w:r>
      <w:r w:rsidR="001B518F" w:rsidRPr="00885EFA">
        <w:rPr>
          <w:rFonts w:ascii="Garamond" w:hAnsi="Garamond" w:cs="Times New Roman"/>
          <w:sz w:val="24"/>
          <w:szCs w:val="24"/>
        </w:rPr>
        <w:t xml:space="preserve">be classified or to </w:t>
      </w:r>
      <w:r w:rsidR="00601FD1" w:rsidRPr="00885EFA">
        <w:rPr>
          <w:rFonts w:ascii="Garamond" w:hAnsi="Garamond" w:cs="Times New Roman"/>
          <w:sz w:val="24"/>
          <w:szCs w:val="24"/>
        </w:rPr>
        <w:t xml:space="preserve">identify as </w:t>
      </w:r>
      <w:r w:rsidR="00537F14" w:rsidRPr="00885EFA">
        <w:rPr>
          <w:rFonts w:ascii="Garamond" w:hAnsi="Garamond" w:cs="Times New Roman"/>
          <w:sz w:val="24"/>
          <w:szCs w:val="24"/>
        </w:rPr>
        <w:t>any sex or gender</w:t>
      </w:r>
      <w:r w:rsidR="00601FD1" w:rsidRPr="00885EFA">
        <w:rPr>
          <w:rFonts w:ascii="Garamond" w:hAnsi="Garamond" w:cs="Times New Roman"/>
          <w:sz w:val="24"/>
          <w:szCs w:val="24"/>
        </w:rPr>
        <w:t xml:space="preserve">. </w:t>
      </w:r>
    </w:p>
    <w:p w14:paraId="6441E7F1" w14:textId="179FD4A7" w:rsidR="00601FD1" w:rsidRPr="00885EFA" w:rsidRDefault="00B76173" w:rsidP="00A844FC">
      <w:pPr>
        <w:tabs>
          <w:tab w:val="num" w:pos="720"/>
        </w:tabs>
        <w:spacing w:line="480" w:lineRule="auto"/>
        <w:rPr>
          <w:rFonts w:ascii="Garamond" w:hAnsi="Garamond" w:cs="Times New Roman"/>
          <w:sz w:val="24"/>
          <w:szCs w:val="24"/>
        </w:rPr>
      </w:pPr>
      <w:r w:rsidRPr="00885EFA">
        <w:rPr>
          <w:rFonts w:ascii="Garamond" w:hAnsi="Garamond" w:cs="Times New Roman"/>
          <w:sz w:val="24"/>
          <w:szCs w:val="24"/>
        </w:rPr>
        <w:tab/>
      </w:r>
      <w:r w:rsidR="00601FD1" w:rsidRPr="000C4CA7">
        <w:rPr>
          <w:rFonts w:ascii="Garamond" w:hAnsi="Garamond" w:cs="Times New Roman"/>
          <w:sz w:val="24"/>
          <w:szCs w:val="24"/>
        </w:rPr>
        <w:t xml:space="preserve">A GI draft simply </w:t>
      </w:r>
      <w:r w:rsidR="00537F14" w:rsidRPr="000C4CA7">
        <w:rPr>
          <w:rFonts w:ascii="Garamond" w:hAnsi="Garamond" w:cs="Times New Roman"/>
          <w:sz w:val="24"/>
          <w:szCs w:val="24"/>
        </w:rPr>
        <w:t>renders sex and gender irrelevant as a consideration</w:t>
      </w:r>
      <w:r w:rsidR="00601FD1" w:rsidRPr="000C4CA7">
        <w:rPr>
          <w:rFonts w:ascii="Garamond" w:hAnsi="Garamond" w:cs="Times New Roman"/>
          <w:sz w:val="24"/>
          <w:szCs w:val="24"/>
        </w:rPr>
        <w:t>. This is not an innovative approach. Legislators have achieved that goal with reference to race, for example.</w:t>
      </w:r>
      <w:r w:rsidR="00537F14" w:rsidRPr="000C4CA7">
        <w:rPr>
          <w:rStyle w:val="FootnoteReference"/>
          <w:rFonts w:ascii="Garamond" w:hAnsi="Garamond"/>
          <w:sz w:val="24"/>
          <w:szCs w:val="24"/>
        </w:rPr>
        <w:footnoteReference w:id="9"/>
      </w:r>
      <w:r w:rsidR="00601FD1" w:rsidRPr="000C4CA7">
        <w:rPr>
          <w:rFonts w:ascii="Garamond" w:hAnsi="Garamond" w:cs="Times New Roman"/>
          <w:sz w:val="24"/>
          <w:szCs w:val="24"/>
        </w:rPr>
        <w:t xml:space="preserve"> </w:t>
      </w:r>
      <w:r w:rsidR="00A21FF4" w:rsidRPr="000C4CA7">
        <w:rPr>
          <w:rFonts w:ascii="Garamond" w:hAnsi="Garamond"/>
          <w:sz w:val="24"/>
          <w:szCs w:val="24"/>
        </w:rPr>
        <w:t>“Legislation that is race-inclusive does not list categories of race and ethnicity.”</w:t>
      </w:r>
      <w:r w:rsidR="00601FD1" w:rsidRPr="000C4CA7">
        <w:rPr>
          <w:rFonts w:ascii="Garamond" w:hAnsi="Garamond" w:cs="Times New Roman"/>
          <w:sz w:val="24"/>
          <w:szCs w:val="24"/>
        </w:rPr>
        <w:t xml:space="preserve"> In application of the same approach, GI legislation does</w:t>
      </w:r>
      <w:r w:rsidR="00601FD1" w:rsidRPr="00885EFA">
        <w:rPr>
          <w:rFonts w:ascii="Garamond" w:hAnsi="Garamond" w:cs="Times New Roman"/>
          <w:sz w:val="24"/>
          <w:szCs w:val="24"/>
        </w:rPr>
        <w:t xml:space="preserve"> not refer to “anyone, male or female or any other </w:t>
      </w:r>
      <w:r w:rsidR="001B518F" w:rsidRPr="00885EFA">
        <w:rPr>
          <w:rFonts w:ascii="Garamond" w:hAnsi="Garamond" w:cs="Times New Roman"/>
          <w:sz w:val="24"/>
          <w:szCs w:val="24"/>
        </w:rPr>
        <w:t xml:space="preserve">sex or </w:t>
      </w:r>
      <w:r w:rsidR="00601FD1" w:rsidRPr="00885EFA">
        <w:rPr>
          <w:rFonts w:ascii="Garamond" w:hAnsi="Garamond" w:cs="Times New Roman"/>
          <w:sz w:val="24"/>
          <w:szCs w:val="24"/>
        </w:rPr>
        <w:t xml:space="preserve">gender”.  In this respect, </w:t>
      </w:r>
      <w:r w:rsidR="00015720" w:rsidRPr="00885EFA">
        <w:rPr>
          <w:rFonts w:ascii="Garamond" w:hAnsi="Garamond" w:cs="Times New Roman"/>
          <w:sz w:val="24"/>
          <w:szCs w:val="24"/>
        </w:rPr>
        <w:t>GIL</w:t>
      </w:r>
      <w:r w:rsidR="001B518F" w:rsidRPr="00885EFA">
        <w:rPr>
          <w:rFonts w:ascii="Garamond" w:hAnsi="Garamond" w:cs="Times New Roman"/>
          <w:sz w:val="24"/>
          <w:szCs w:val="24"/>
        </w:rPr>
        <w:t xml:space="preserve"> can be open to opposition by some feminist groups, who may find that the elimination of considerations of sex and gender is counter-productive to the feminist cause that ofte</w:t>
      </w:r>
      <w:r w:rsidR="00D03C7C" w:rsidRPr="00885EFA">
        <w:rPr>
          <w:rFonts w:ascii="Garamond" w:hAnsi="Garamond" w:cs="Times New Roman"/>
          <w:sz w:val="24"/>
          <w:szCs w:val="24"/>
        </w:rPr>
        <w:t xml:space="preserve">n aims to draw attention to existing </w:t>
      </w:r>
      <w:r w:rsidR="001B518F" w:rsidRPr="00885EFA">
        <w:rPr>
          <w:rFonts w:ascii="Garamond" w:hAnsi="Garamond" w:cs="Times New Roman"/>
          <w:sz w:val="24"/>
          <w:szCs w:val="24"/>
        </w:rPr>
        <w:t>differentiation</w:t>
      </w:r>
      <w:r w:rsidR="00D03C7C" w:rsidRPr="00885EFA">
        <w:rPr>
          <w:rFonts w:ascii="Garamond" w:hAnsi="Garamond" w:cs="Times New Roman"/>
          <w:sz w:val="24"/>
          <w:szCs w:val="24"/>
        </w:rPr>
        <w:t>s against women</w:t>
      </w:r>
      <w:r w:rsidR="001B518F" w:rsidRPr="00885EFA">
        <w:rPr>
          <w:rFonts w:ascii="Garamond" w:hAnsi="Garamond" w:cs="Times New Roman"/>
          <w:sz w:val="24"/>
          <w:szCs w:val="24"/>
        </w:rPr>
        <w:t>. Of course, this would be incorrect. GIL may eliminate sex and gender from legislative expression but this does not affect pro-</w:t>
      </w:r>
      <w:r w:rsidR="00D03C7C" w:rsidRPr="00885EFA">
        <w:rPr>
          <w:rFonts w:ascii="Garamond" w:hAnsi="Garamond" w:cs="Times New Roman"/>
          <w:sz w:val="24"/>
          <w:szCs w:val="24"/>
        </w:rPr>
        <w:t>women</w:t>
      </w:r>
      <w:r w:rsidR="001B518F" w:rsidRPr="00885EFA">
        <w:rPr>
          <w:rFonts w:ascii="Garamond" w:hAnsi="Garamond" w:cs="Times New Roman"/>
          <w:sz w:val="24"/>
          <w:szCs w:val="24"/>
        </w:rPr>
        <w:t xml:space="preserve"> policy choices</w:t>
      </w:r>
      <w:r w:rsidR="00D03C7C" w:rsidRPr="00885EFA">
        <w:rPr>
          <w:rFonts w:ascii="Garamond" w:hAnsi="Garamond" w:cs="Times New Roman"/>
          <w:sz w:val="24"/>
          <w:szCs w:val="24"/>
        </w:rPr>
        <w:t xml:space="preserve">, nor </w:t>
      </w:r>
      <w:r w:rsidR="001B518F" w:rsidRPr="00885EFA">
        <w:rPr>
          <w:rFonts w:ascii="Garamond" w:hAnsi="Garamond" w:cs="Times New Roman"/>
          <w:sz w:val="24"/>
          <w:szCs w:val="24"/>
        </w:rPr>
        <w:t xml:space="preserve">their expression in gender specific language where appropriate. In fact, one could argue that in </w:t>
      </w:r>
      <w:r w:rsidR="00D03C7C" w:rsidRPr="00885EFA">
        <w:rPr>
          <w:rFonts w:ascii="Garamond" w:hAnsi="Garamond" w:cs="Times New Roman"/>
          <w:sz w:val="24"/>
          <w:szCs w:val="24"/>
        </w:rPr>
        <w:t xml:space="preserve">the environment of </w:t>
      </w:r>
      <w:r w:rsidR="001B518F" w:rsidRPr="00885EFA">
        <w:rPr>
          <w:rFonts w:ascii="Garamond" w:hAnsi="Garamond" w:cs="Times New Roman"/>
          <w:sz w:val="24"/>
          <w:szCs w:val="24"/>
        </w:rPr>
        <w:t xml:space="preserve">a GIL statute book, gender specific language would have even more impact </w:t>
      </w:r>
      <w:r w:rsidR="00D03C7C" w:rsidRPr="00885EFA">
        <w:rPr>
          <w:rFonts w:ascii="Garamond" w:hAnsi="Garamond" w:cs="Times New Roman"/>
          <w:sz w:val="24"/>
          <w:szCs w:val="24"/>
        </w:rPr>
        <w:t xml:space="preserve">in </w:t>
      </w:r>
      <w:r w:rsidR="001B518F" w:rsidRPr="00885EFA">
        <w:rPr>
          <w:rFonts w:ascii="Garamond" w:hAnsi="Garamond" w:cs="Times New Roman"/>
          <w:sz w:val="24"/>
          <w:szCs w:val="24"/>
        </w:rPr>
        <w:t xml:space="preserve">drawing the users’ attention to the </w:t>
      </w:r>
      <w:r w:rsidR="00D03C7C" w:rsidRPr="00885EFA">
        <w:rPr>
          <w:rFonts w:ascii="Garamond" w:hAnsi="Garamond" w:cs="Times New Roman"/>
          <w:sz w:val="24"/>
          <w:szCs w:val="24"/>
        </w:rPr>
        <w:t>specific position of women in gender specific legislative texts.</w:t>
      </w:r>
      <w:r w:rsidR="001B518F" w:rsidRPr="00885EFA">
        <w:rPr>
          <w:rFonts w:ascii="Garamond" w:hAnsi="Garamond" w:cs="Times New Roman"/>
          <w:sz w:val="24"/>
          <w:szCs w:val="24"/>
        </w:rPr>
        <w:t xml:space="preserve"> </w:t>
      </w:r>
    </w:p>
    <w:p w14:paraId="4F6BE6CF" w14:textId="13F04D89" w:rsidR="00390BFF" w:rsidRPr="00885EFA" w:rsidRDefault="003605B2" w:rsidP="00A844FC">
      <w:pPr>
        <w:spacing w:line="480" w:lineRule="auto"/>
        <w:ind w:firstLine="720"/>
        <w:rPr>
          <w:rFonts w:ascii="Garamond" w:hAnsi="Garamond" w:cs="Times New Roman"/>
          <w:bCs/>
          <w:iCs/>
          <w:sz w:val="24"/>
          <w:szCs w:val="24"/>
        </w:rPr>
      </w:pPr>
      <w:r w:rsidRPr="00885EFA">
        <w:rPr>
          <w:rFonts w:ascii="Garamond" w:hAnsi="Garamond" w:cs="Times New Roman"/>
          <w:bCs/>
          <w:iCs/>
          <w:sz w:val="24"/>
          <w:szCs w:val="24"/>
        </w:rPr>
        <w:t>In the English</w:t>
      </w:r>
      <w:r w:rsidR="00D33EF2">
        <w:rPr>
          <w:rFonts w:ascii="Garamond" w:hAnsi="Garamond" w:cs="Times New Roman"/>
          <w:bCs/>
          <w:iCs/>
          <w:sz w:val="24"/>
          <w:szCs w:val="24"/>
        </w:rPr>
        <w:t>-</w:t>
      </w:r>
      <w:r w:rsidRPr="00885EFA">
        <w:rPr>
          <w:rFonts w:ascii="Garamond" w:hAnsi="Garamond" w:cs="Times New Roman"/>
          <w:bCs/>
          <w:iCs/>
          <w:sz w:val="24"/>
          <w:szCs w:val="24"/>
        </w:rPr>
        <w:t xml:space="preserve">speaking world, gender neutrality is gaining ground. </w:t>
      </w:r>
      <w:r w:rsidR="00015720" w:rsidRPr="00885EFA">
        <w:rPr>
          <w:rFonts w:ascii="Garamond" w:hAnsi="Garamond" w:cs="Times New Roman"/>
          <w:bCs/>
          <w:iCs/>
          <w:sz w:val="24"/>
          <w:szCs w:val="24"/>
        </w:rPr>
        <w:t>GNL</w:t>
      </w:r>
      <w:r w:rsidR="00390BFF" w:rsidRPr="00885EFA">
        <w:rPr>
          <w:rFonts w:ascii="Garamond" w:hAnsi="Garamond" w:cs="Times New Roman"/>
          <w:bCs/>
          <w:iCs/>
          <w:sz w:val="24"/>
          <w:szCs w:val="24"/>
        </w:rPr>
        <w:t xml:space="preserve"> has been adopted by the New South Wales Office of Parliamentary Counsel in 1983, by New Zealand in 1985, by the Australian Office of Parliamentary Counsel in 1988, by the UN and the International Labour Organization roughly around 1989, by Canada in 1991, by South Africa in 1995, and by the US Congress, albeit not consistently, in 2001. In the UK </w:t>
      </w:r>
      <w:r w:rsidR="00015720" w:rsidRPr="00885EFA">
        <w:rPr>
          <w:rFonts w:ascii="Garamond" w:hAnsi="Garamond" w:cs="Times New Roman"/>
          <w:bCs/>
          <w:iCs/>
          <w:sz w:val="24"/>
          <w:szCs w:val="24"/>
        </w:rPr>
        <w:t>GNL</w:t>
      </w:r>
      <w:r w:rsidR="00390BFF" w:rsidRPr="00885EFA">
        <w:rPr>
          <w:rFonts w:ascii="Garamond" w:hAnsi="Garamond" w:cs="Times New Roman"/>
          <w:bCs/>
          <w:iCs/>
          <w:sz w:val="24"/>
          <w:szCs w:val="24"/>
        </w:rPr>
        <w:t xml:space="preserve"> is applied to all </w:t>
      </w:r>
      <w:r w:rsidR="00390BFF" w:rsidRPr="00885EFA">
        <w:rPr>
          <w:rFonts w:ascii="Garamond" w:hAnsi="Garamond" w:cs="Times New Roman"/>
          <w:bCs/>
          <w:iCs/>
          <w:sz w:val="24"/>
          <w:szCs w:val="24"/>
        </w:rPr>
        <w:lastRenderedPageBreak/>
        <w:t>government Bills and Acts since 2007.</w:t>
      </w:r>
      <w:r w:rsidR="00390BFF" w:rsidRPr="00885EFA">
        <w:rPr>
          <w:rStyle w:val="FootnoteReference"/>
          <w:rFonts w:ascii="Garamond" w:hAnsi="Garamond"/>
          <w:sz w:val="24"/>
          <w:szCs w:val="24"/>
        </w:rPr>
        <w:footnoteReference w:id="10"/>
      </w:r>
      <w:r w:rsidR="00390BFF" w:rsidRPr="00885EFA">
        <w:rPr>
          <w:rFonts w:ascii="Garamond" w:hAnsi="Garamond" w:cs="Times New Roman"/>
          <w:bCs/>
          <w:iCs/>
          <w:sz w:val="24"/>
          <w:szCs w:val="24"/>
        </w:rPr>
        <w:t xml:space="preserve"> </w:t>
      </w:r>
      <w:r w:rsidRPr="00885EFA">
        <w:rPr>
          <w:rFonts w:ascii="Garamond" w:hAnsi="Garamond" w:cs="Times New Roman"/>
          <w:bCs/>
          <w:iCs/>
          <w:sz w:val="24"/>
          <w:szCs w:val="24"/>
        </w:rPr>
        <w:t xml:space="preserve"> </w:t>
      </w:r>
      <w:r w:rsidR="00172B9F" w:rsidRPr="00885EFA">
        <w:rPr>
          <w:rFonts w:ascii="Garamond" w:hAnsi="Garamond" w:cs="Times New Roman"/>
          <w:bCs/>
          <w:iCs/>
          <w:sz w:val="24"/>
          <w:szCs w:val="24"/>
        </w:rPr>
        <w:t>However,</w:t>
      </w:r>
      <w:r w:rsidRPr="00885EFA">
        <w:rPr>
          <w:rFonts w:ascii="Garamond" w:hAnsi="Garamond" w:cs="Times New Roman"/>
          <w:bCs/>
          <w:iCs/>
          <w:sz w:val="24"/>
          <w:szCs w:val="24"/>
        </w:rPr>
        <w:t xml:space="preserve"> most Commonwealth drafters in other jurisdictions find it difficult to understand the rationale of </w:t>
      </w:r>
      <w:r w:rsidR="00015720" w:rsidRPr="00885EFA">
        <w:rPr>
          <w:rFonts w:ascii="Garamond" w:hAnsi="Garamond" w:cs="Times New Roman"/>
          <w:bCs/>
          <w:iCs/>
          <w:sz w:val="24"/>
          <w:szCs w:val="24"/>
        </w:rPr>
        <w:t>GND</w:t>
      </w:r>
      <w:r w:rsidRPr="00885EFA">
        <w:rPr>
          <w:rFonts w:ascii="Garamond" w:hAnsi="Garamond" w:cs="Times New Roman"/>
          <w:bCs/>
          <w:iCs/>
          <w:sz w:val="24"/>
          <w:szCs w:val="24"/>
        </w:rPr>
        <w:t>, since most Interpretation Acts expressly state that “he includes she”.</w:t>
      </w:r>
      <w:r w:rsidR="006E4867" w:rsidRPr="00885EFA">
        <w:rPr>
          <w:rStyle w:val="FootnoteReference"/>
          <w:rFonts w:ascii="Garamond" w:hAnsi="Garamond"/>
          <w:sz w:val="24"/>
          <w:szCs w:val="24"/>
        </w:rPr>
        <w:footnoteReference w:id="11"/>
      </w:r>
      <w:r w:rsidRPr="00885EFA">
        <w:rPr>
          <w:rFonts w:ascii="Garamond" w:hAnsi="Garamond" w:cs="Times New Roman"/>
          <w:bCs/>
          <w:iCs/>
          <w:sz w:val="24"/>
          <w:szCs w:val="24"/>
        </w:rPr>
        <w:t xml:space="preserve"> </w:t>
      </w:r>
    </w:p>
    <w:p w14:paraId="7982805E" w14:textId="59B9350E" w:rsidR="00390BFF" w:rsidRPr="00885EFA" w:rsidRDefault="00390BFF" w:rsidP="00A844FC">
      <w:pPr>
        <w:spacing w:line="480" w:lineRule="auto"/>
        <w:ind w:firstLine="720"/>
        <w:rPr>
          <w:rFonts w:ascii="Garamond" w:hAnsi="Garamond" w:cs="Times New Roman"/>
          <w:bCs/>
          <w:iCs/>
          <w:sz w:val="24"/>
          <w:szCs w:val="24"/>
        </w:rPr>
      </w:pPr>
      <w:r w:rsidRPr="00885EFA">
        <w:rPr>
          <w:rFonts w:ascii="Garamond" w:hAnsi="Garamond" w:cs="Times New Roman"/>
          <w:bCs/>
          <w:iCs/>
          <w:sz w:val="24"/>
          <w:szCs w:val="24"/>
        </w:rPr>
        <w:t>The problem is that few n</w:t>
      </w:r>
      <w:r w:rsidR="006E4867" w:rsidRPr="00885EFA">
        <w:rPr>
          <w:rFonts w:ascii="Garamond" w:hAnsi="Garamond" w:cs="Times New Roman"/>
          <w:bCs/>
          <w:iCs/>
          <w:sz w:val="24"/>
          <w:szCs w:val="24"/>
        </w:rPr>
        <w:t>on</w:t>
      </w:r>
      <w:r w:rsidR="003605B2" w:rsidRPr="00885EFA">
        <w:rPr>
          <w:rFonts w:ascii="Garamond" w:hAnsi="Garamond" w:cs="Times New Roman"/>
          <w:bCs/>
          <w:iCs/>
          <w:sz w:val="24"/>
          <w:szCs w:val="24"/>
        </w:rPr>
        <w:t>-</w:t>
      </w:r>
      <w:r w:rsidR="006E4867" w:rsidRPr="00885EFA">
        <w:rPr>
          <w:rFonts w:ascii="Garamond" w:hAnsi="Garamond" w:cs="Times New Roman"/>
          <w:bCs/>
          <w:iCs/>
          <w:sz w:val="24"/>
          <w:szCs w:val="24"/>
        </w:rPr>
        <w:t xml:space="preserve">lawyers are aware of </w:t>
      </w:r>
      <w:r w:rsidR="003605B2" w:rsidRPr="00885EFA">
        <w:rPr>
          <w:rFonts w:ascii="Garamond" w:hAnsi="Garamond" w:cs="Times New Roman"/>
          <w:bCs/>
          <w:iCs/>
          <w:sz w:val="24"/>
          <w:szCs w:val="24"/>
        </w:rPr>
        <w:t>the Interpretation Act. W</w:t>
      </w:r>
      <w:r w:rsidR="006E4867" w:rsidRPr="00885EFA">
        <w:rPr>
          <w:rFonts w:ascii="Garamond" w:hAnsi="Garamond" w:cs="Times New Roman"/>
          <w:bCs/>
          <w:iCs/>
          <w:sz w:val="24"/>
          <w:szCs w:val="24"/>
        </w:rPr>
        <w:t xml:space="preserve">ith reference to </w:t>
      </w:r>
      <w:r w:rsidR="003605B2" w:rsidRPr="00885EFA">
        <w:rPr>
          <w:rFonts w:ascii="Garamond" w:hAnsi="Garamond" w:cs="Times New Roman"/>
          <w:bCs/>
          <w:iCs/>
          <w:sz w:val="24"/>
          <w:szCs w:val="24"/>
        </w:rPr>
        <w:t>un</w:t>
      </w:r>
      <w:r w:rsidR="006E4867" w:rsidRPr="00885EFA">
        <w:rPr>
          <w:rFonts w:ascii="Garamond" w:hAnsi="Garamond" w:cs="Times New Roman"/>
          <w:bCs/>
          <w:iCs/>
          <w:sz w:val="24"/>
          <w:szCs w:val="24"/>
        </w:rPr>
        <w:t>ambiguity</w:t>
      </w:r>
      <w:r w:rsidR="000D7245">
        <w:rPr>
          <w:rFonts w:ascii="Garamond" w:hAnsi="Garamond" w:cs="Times New Roman"/>
          <w:bCs/>
          <w:iCs/>
          <w:sz w:val="24"/>
          <w:szCs w:val="24"/>
        </w:rPr>
        <w:t xml:space="preserve"> </w:t>
      </w:r>
      <w:r w:rsidR="000D7245">
        <w:rPr>
          <w:rFonts w:ascii="Garamond" w:hAnsi="Garamond" w:cs="Times New Roman"/>
          <w:bCs/>
          <w:iCs/>
          <w:sz w:val="24"/>
          <w:szCs w:val="24"/>
        </w:rPr>
        <w:fldChar w:fldCharType="begin"/>
      </w:r>
      <w:r w:rsidR="000D7245">
        <w:rPr>
          <w:rFonts w:ascii="Garamond" w:hAnsi="Garamond" w:cs="Times New Roman"/>
          <w:bCs/>
          <w:iCs/>
          <w:sz w:val="24"/>
          <w:szCs w:val="24"/>
        </w:rPr>
        <w:instrText xml:space="preserve"> ADDIN ZOTERO_ITEM CSL_CITATION {"citationID":"12OPfqOp","properties":{"formattedCitation":"(Statsky, 1984, p. 184)","plainCitation":"(Statsky, 1984, p. 184)","noteIndex":0},"citationItems":[{"id":3562,"uris":["http://zotero.org/users/1070015/items/56MTZZ28"],"uri":["http://zotero.org/users/1070015/items/56MTZZ28"],"itemData":{"id":3562,"type":"book","event-place":"St Paul MN","publisher":"West Publishing Company","publisher-place":"St Paul MN","source":"Amazon","title":"Legislative Analysis and Drafting","author":[{"family":"Statsky","given":"William"}],"issued":{"date-parts":[["1984"]]}},"locator":"184","label":"page"}],"schema":"https://github.com/citation-style-language/schema/raw/master/csl-citation.json"} </w:instrText>
      </w:r>
      <w:r w:rsidR="000D7245">
        <w:rPr>
          <w:rFonts w:ascii="Garamond" w:hAnsi="Garamond" w:cs="Times New Roman"/>
          <w:bCs/>
          <w:iCs/>
          <w:sz w:val="24"/>
          <w:szCs w:val="24"/>
        </w:rPr>
        <w:fldChar w:fldCharType="separate"/>
      </w:r>
      <w:r w:rsidR="000D7245">
        <w:rPr>
          <w:rFonts w:ascii="Garamond" w:hAnsi="Garamond" w:cs="Times New Roman"/>
          <w:bCs/>
          <w:iCs/>
          <w:noProof/>
          <w:sz w:val="24"/>
          <w:szCs w:val="24"/>
        </w:rPr>
        <w:t>(Statsky, 1984, p. 184)</w:t>
      </w:r>
      <w:r w:rsidR="000D7245">
        <w:rPr>
          <w:rFonts w:ascii="Garamond" w:hAnsi="Garamond" w:cs="Times New Roman"/>
          <w:bCs/>
          <w:iCs/>
          <w:sz w:val="24"/>
          <w:szCs w:val="24"/>
        </w:rPr>
        <w:fldChar w:fldCharType="end"/>
      </w:r>
      <w:r w:rsidR="006E4867" w:rsidRPr="00885EFA">
        <w:rPr>
          <w:rFonts w:ascii="Garamond" w:hAnsi="Garamond" w:cs="Times New Roman"/>
          <w:bCs/>
          <w:iCs/>
          <w:sz w:val="24"/>
          <w:szCs w:val="24"/>
        </w:rPr>
        <w:t>,</w:t>
      </w:r>
      <w:r w:rsidR="003605B2" w:rsidRPr="00885EFA">
        <w:rPr>
          <w:rFonts w:ascii="Garamond" w:hAnsi="Garamond" w:cs="Times New Roman"/>
          <w:bCs/>
          <w:iCs/>
          <w:sz w:val="24"/>
          <w:szCs w:val="24"/>
        </w:rPr>
        <w:t xml:space="preserve"> “</w:t>
      </w:r>
      <w:r w:rsidR="006E4867" w:rsidRPr="00885EFA">
        <w:rPr>
          <w:rFonts w:ascii="Garamond" w:hAnsi="Garamond" w:cs="Times New Roman"/>
          <w:bCs/>
          <w:iCs/>
          <w:sz w:val="24"/>
          <w:szCs w:val="24"/>
        </w:rPr>
        <w:t>he</w:t>
      </w:r>
      <w:r w:rsidR="003605B2" w:rsidRPr="00885EFA">
        <w:rPr>
          <w:rFonts w:ascii="Garamond" w:hAnsi="Garamond" w:cs="Times New Roman"/>
          <w:bCs/>
          <w:iCs/>
          <w:sz w:val="24"/>
          <w:szCs w:val="24"/>
        </w:rPr>
        <w:t>”</w:t>
      </w:r>
      <w:r w:rsidR="006E4867" w:rsidRPr="00885EFA">
        <w:rPr>
          <w:rFonts w:ascii="Garamond" w:hAnsi="Garamond" w:cs="Times New Roman"/>
          <w:bCs/>
          <w:iCs/>
          <w:sz w:val="24"/>
          <w:szCs w:val="24"/>
        </w:rPr>
        <w:t xml:space="preserve"> can be both </w:t>
      </w:r>
      <w:r w:rsidR="003605B2" w:rsidRPr="00885EFA">
        <w:rPr>
          <w:rFonts w:ascii="Garamond" w:hAnsi="Garamond" w:cs="Times New Roman"/>
          <w:bCs/>
          <w:iCs/>
          <w:sz w:val="24"/>
          <w:szCs w:val="24"/>
        </w:rPr>
        <w:t>“</w:t>
      </w:r>
      <w:r w:rsidR="006E4867" w:rsidRPr="00885EFA">
        <w:rPr>
          <w:rFonts w:ascii="Garamond" w:hAnsi="Garamond" w:cs="Times New Roman"/>
          <w:bCs/>
          <w:iCs/>
          <w:sz w:val="24"/>
          <w:szCs w:val="24"/>
        </w:rPr>
        <w:t>he</w:t>
      </w:r>
      <w:r w:rsidR="003605B2" w:rsidRPr="00885EFA">
        <w:rPr>
          <w:rFonts w:ascii="Garamond" w:hAnsi="Garamond" w:cs="Times New Roman"/>
          <w:bCs/>
          <w:iCs/>
          <w:sz w:val="24"/>
          <w:szCs w:val="24"/>
        </w:rPr>
        <w:t>”</w:t>
      </w:r>
      <w:r w:rsidR="006E4867" w:rsidRPr="00885EFA">
        <w:rPr>
          <w:rFonts w:ascii="Garamond" w:hAnsi="Garamond" w:cs="Times New Roman"/>
          <w:bCs/>
          <w:iCs/>
          <w:sz w:val="24"/>
          <w:szCs w:val="24"/>
        </w:rPr>
        <w:t xml:space="preserve"> and </w:t>
      </w:r>
      <w:r w:rsidR="003605B2" w:rsidRPr="00885EFA">
        <w:rPr>
          <w:rFonts w:ascii="Garamond" w:hAnsi="Garamond" w:cs="Times New Roman"/>
          <w:bCs/>
          <w:iCs/>
          <w:sz w:val="24"/>
          <w:szCs w:val="24"/>
        </w:rPr>
        <w:t>“</w:t>
      </w:r>
      <w:r w:rsidR="006E4867" w:rsidRPr="00885EFA">
        <w:rPr>
          <w:rFonts w:ascii="Garamond" w:hAnsi="Garamond" w:cs="Times New Roman"/>
          <w:bCs/>
          <w:iCs/>
          <w:sz w:val="24"/>
          <w:szCs w:val="24"/>
        </w:rPr>
        <w:t>she</w:t>
      </w:r>
      <w:r w:rsidR="003605B2" w:rsidRPr="00885EFA">
        <w:rPr>
          <w:rFonts w:ascii="Garamond" w:hAnsi="Garamond" w:cs="Times New Roman"/>
          <w:bCs/>
          <w:iCs/>
          <w:sz w:val="24"/>
          <w:szCs w:val="24"/>
        </w:rPr>
        <w:t>”</w:t>
      </w:r>
      <w:r w:rsidR="006E4867" w:rsidRPr="00885EFA">
        <w:rPr>
          <w:rFonts w:ascii="Garamond" w:hAnsi="Garamond" w:cs="Times New Roman"/>
          <w:bCs/>
          <w:iCs/>
          <w:sz w:val="24"/>
          <w:szCs w:val="24"/>
        </w:rPr>
        <w:t xml:space="preserve"> in a great n</w:t>
      </w:r>
      <w:r w:rsidR="003605B2" w:rsidRPr="00885EFA">
        <w:rPr>
          <w:rFonts w:ascii="Garamond" w:hAnsi="Garamond" w:cs="Times New Roman"/>
          <w:bCs/>
          <w:iCs/>
          <w:sz w:val="24"/>
          <w:szCs w:val="24"/>
        </w:rPr>
        <w:t>umber of statutes, but equally “</w:t>
      </w:r>
      <w:r w:rsidR="006E4867" w:rsidRPr="00885EFA">
        <w:rPr>
          <w:rFonts w:ascii="Garamond" w:hAnsi="Garamond" w:cs="Times New Roman"/>
          <w:bCs/>
          <w:iCs/>
          <w:sz w:val="24"/>
          <w:szCs w:val="24"/>
        </w:rPr>
        <w:t>he</w:t>
      </w:r>
      <w:r w:rsidR="003605B2" w:rsidRPr="00885EFA">
        <w:rPr>
          <w:rFonts w:ascii="Garamond" w:hAnsi="Garamond" w:cs="Times New Roman"/>
          <w:bCs/>
          <w:iCs/>
          <w:sz w:val="24"/>
          <w:szCs w:val="24"/>
        </w:rPr>
        <w:t>” is only “</w:t>
      </w:r>
      <w:r w:rsidR="006E4867" w:rsidRPr="00885EFA">
        <w:rPr>
          <w:rFonts w:ascii="Garamond" w:hAnsi="Garamond" w:cs="Times New Roman"/>
          <w:bCs/>
          <w:iCs/>
          <w:sz w:val="24"/>
          <w:szCs w:val="24"/>
        </w:rPr>
        <w:t>he</w:t>
      </w:r>
      <w:r w:rsidR="003605B2" w:rsidRPr="00885EFA">
        <w:rPr>
          <w:rFonts w:ascii="Garamond" w:hAnsi="Garamond" w:cs="Times New Roman"/>
          <w:bCs/>
          <w:iCs/>
          <w:sz w:val="24"/>
          <w:szCs w:val="24"/>
        </w:rPr>
        <w:t>”</w:t>
      </w:r>
      <w:r w:rsidR="006E4867" w:rsidRPr="00885EFA">
        <w:rPr>
          <w:rFonts w:ascii="Garamond" w:hAnsi="Garamond" w:cs="Times New Roman"/>
          <w:bCs/>
          <w:iCs/>
          <w:sz w:val="24"/>
          <w:szCs w:val="24"/>
        </w:rPr>
        <w:t xml:space="preserve"> where gender specific language is actually appropriate</w:t>
      </w:r>
      <w:r w:rsidR="00D9490A">
        <w:rPr>
          <w:rFonts w:ascii="Garamond" w:hAnsi="Garamond" w:cs="Times New Roman"/>
          <w:bCs/>
          <w:iCs/>
          <w:sz w:val="24"/>
          <w:szCs w:val="24"/>
        </w:rPr>
        <w:t xml:space="preserve"> </w:t>
      </w:r>
      <w:r w:rsidR="00D9490A">
        <w:rPr>
          <w:rFonts w:ascii="Garamond" w:hAnsi="Garamond" w:cs="Times New Roman"/>
          <w:bCs/>
          <w:iCs/>
          <w:sz w:val="24"/>
          <w:szCs w:val="24"/>
        </w:rPr>
        <w:fldChar w:fldCharType="begin"/>
      </w:r>
      <w:r w:rsidR="00EE2FDE">
        <w:rPr>
          <w:rFonts w:ascii="Garamond" w:hAnsi="Garamond" w:cs="Times New Roman"/>
          <w:bCs/>
          <w:iCs/>
          <w:sz w:val="24"/>
          <w:szCs w:val="24"/>
        </w:rPr>
        <w:instrText xml:space="preserve"> ADDIN ZOTERO_ITEM CSL_CITATION {"citationID":"zaeFrzzD","properties":{"formattedCitation":"(Corbett, 1991, p. 21)","plainCitation":"(Corbett, 1991, p. 21)","noteIndex":0},"citationItems":[{"id":3564,"uris":["http://zotero.org/users/1070015/items/QU3U8QDU"],"uri":["http://zotero.org/users/1070015/items/QU3U8QDU"],"itemData":{"id":3564,"type":"book","abstract":"Gender is a fascinating category, central and pervasive in some languages and totally absent in others. In this new, comprehensive account of gender systems, over 200 languages are discussed, from English and Russian to Archi and Chichewa. Detailed analysis of individual languages provides clear illustrations of specific types of system. Gender distinction is often based on sex; sometimes this is only one criterion and the gender of nouns depends on other factors (thus 'house' is masculine in Russian, feminine in French and neuter in Tamil). Some languages have comparable distinctions such as human/non-human, animate/inanimate, where sex is irrelevant. No other textbook surveys gender across this range of languages. Gender will be invaluable both for class use and as a reference resource for students and researchers in linguistics.","collection-title":"Cambridge Textbooks in Linguistics","event-place":"Cambridge","ISBN":"978-0-521-32939-2","note":"DOI: 10.1017/CBO9781139166119","publisher":"Cambridge University Press","publisher-place":"Cambridge","source":"Cambridge University Press","title":"Gender","URL":"https://www.cambridge.org/core/books/gender/C69A25ADCC48BB695568177BCE8DC0DD","author":[{"family":"Corbett","given":"Greville G."}],"accessed":{"date-parts":[["2020",9,4]]},"issued":{"date-parts":[["1991"]]}},"locator":"21","label":"page"}],"schema":"https://github.com/citation-style-language/schema/raw/master/csl-citation.json"} </w:instrText>
      </w:r>
      <w:r w:rsidR="00D9490A">
        <w:rPr>
          <w:rFonts w:ascii="Garamond" w:hAnsi="Garamond" w:cs="Times New Roman"/>
          <w:bCs/>
          <w:iCs/>
          <w:sz w:val="24"/>
          <w:szCs w:val="24"/>
        </w:rPr>
        <w:fldChar w:fldCharType="separate"/>
      </w:r>
      <w:r w:rsidR="00EE2FDE">
        <w:rPr>
          <w:rFonts w:ascii="Garamond" w:hAnsi="Garamond" w:cs="Times New Roman"/>
          <w:bCs/>
          <w:iCs/>
          <w:noProof/>
          <w:sz w:val="24"/>
          <w:szCs w:val="24"/>
        </w:rPr>
        <w:t>(Corbett, 1991, p. 21)</w:t>
      </w:r>
      <w:r w:rsidR="00D9490A">
        <w:rPr>
          <w:rFonts w:ascii="Garamond" w:hAnsi="Garamond" w:cs="Times New Roman"/>
          <w:bCs/>
          <w:iCs/>
          <w:sz w:val="24"/>
          <w:szCs w:val="24"/>
        </w:rPr>
        <w:fldChar w:fldCharType="end"/>
      </w:r>
      <w:r w:rsidR="003605B2" w:rsidRPr="00885EFA">
        <w:rPr>
          <w:rFonts w:ascii="Garamond" w:hAnsi="Garamond" w:cs="Times New Roman"/>
          <w:bCs/>
          <w:iCs/>
          <w:sz w:val="24"/>
          <w:szCs w:val="24"/>
        </w:rPr>
        <w:t>.</w:t>
      </w:r>
      <w:r w:rsidR="006E4867" w:rsidRPr="00885EFA">
        <w:rPr>
          <w:rFonts w:ascii="Garamond" w:hAnsi="Garamond" w:cs="Times New Roman"/>
          <w:bCs/>
          <w:iCs/>
          <w:sz w:val="24"/>
          <w:szCs w:val="24"/>
        </w:rPr>
        <w:t xml:space="preserve"> For example, in jurisdictions where the military is exclusively male, one wond</w:t>
      </w:r>
      <w:r w:rsidR="003605B2" w:rsidRPr="00885EFA">
        <w:rPr>
          <w:rFonts w:ascii="Garamond" w:hAnsi="Garamond" w:cs="Times New Roman"/>
          <w:bCs/>
          <w:iCs/>
          <w:sz w:val="24"/>
          <w:szCs w:val="24"/>
        </w:rPr>
        <w:t>ers whether the application of “</w:t>
      </w:r>
      <w:r w:rsidR="006E4867" w:rsidRPr="00885EFA">
        <w:rPr>
          <w:rFonts w:ascii="Garamond" w:hAnsi="Garamond" w:cs="Times New Roman"/>
          <w:bCs/>
          <w:iCs/>
          <w:sz w:val="24"/>
          <w:szCs w:val="24"/>
        </w:rPr>
        <w:t xml:space="preserve">he includes </w:t>
      </w:r>
      <w:r w:rsidR="003605B2" w:rsidRPr="00885EFA">
        <w:rPr>
          <w:rFonts w:ascii="Garamond" w:hAnsi="Garamond" w:cs="Times New Roman"/>
          <w:bCs/>
          <w:iCs/>
          <w:sz w:val="24"/>
          <w:szCs w:val="24"/>
        </w:rPr>
        <w:t>she”</w:t>
      </w:r>
      <w:r w:rsidR="006E4867" w:rsidRPr="00885EFA">
        <w:rPr>
          <w:rFonts w:ascii="Garamond" w:hAnsi="Garamond" w:cs="Times New Roman"/>
          <w:bCs/>
          <w:iCs/>
          <w:sz w:val="24"/>
          <w:szCs w:val="24"/>
        </w:rPr>
        <w:t xml:space="preserve"> could lead to the admission of women in the army by broad interpretation of the male pronoun under the Interpretation Act, especially where there is no express provision to the contrary. Mary Jane Mossman, a Canadian legal academic explains the reasons for non-discriminatory language in law as being important to promote accuracy in legal speech and writing; to conform to requirements of professional responsibility; and to satisfy equality guarantees in laws and the constitution</w:t>
      </w:r>
      <w:r w:rsidR="00F64FB0">
        <w:rPr>
          <w:rFonts w:ascii="Garamond" w:hAnsi="Garamond" w:cs="Times New Roman"/>
          <w:bCs/>
          <w:iCs/>
          <w:sz w:val="24"/>
          <w:szCs w:val="24"/>
        </w:rPr>
        <w:t xml:space="preserve"> </w:t>
      </w:r>
      <w:r w:rsidR="00F64FB0">
        <w:rPr>
          <w:rFonts w:ascii="Garamond" w:hAnsi="Garamond" w:cs="Times New Roman"/>
          <w:bCs/>
          <w:iCs/>
          <w:sz w:val="24"/>
          <w:szCs w:val="24"/>
        </w:rPr>
        <w:fldChar w:fldCharType="begin"/>
      </w:r>
      <w:r w:rsidR="00F64FB0">
        <w:rPr>
          <w:rFonts w:ascii="Garamond" w:hAnsi="Garamond" w:cs="Times New Roman"/>
          <w:bCs/>
          <w:iCs/>
          <w:sz w:val="24"/>
          <w:szCs w:val="24"/>
        </w:rPr>
        <w:instrText xml:space="preserve"> ADDIN ZOTERO_ITEM CSL_CITATION {"citationID":"Gpr2bI5T","properties":{"formattedCitation":"(Mossman, 1995)","plainCitation":"(Mossman, 1995)","noteIndex":0},"citationItems":[{"id":689,"uris":["http://zotero.org/users/1070015/items/HE66WYL8"],"uri":["http://zotero.org/users/1070015/items/HE66WYL8"],"itemData":{"id":689,"type":"article-journal","container-title":"International Legal Practitioner","issue":"1","page":"8-14","title":"Use of Non-Discriminatory Language in Law","volume":"20","author":[{"family":"Mossman","given":"Mary Jane"}],"issued":{"date-parts":[["1995"]]}}}],"schema":"https://github.com/citation-style-language/schema/raw/master/csl-citation.json"} </w:instrText>
      </w:r>
      <w:r w:rsidR="00F64FB0">
        <w:rPr>
          <w:rFonts w:ascii="Garamond" w:hAnsi="Garamond" w:cs="Times New Roman"/>
          <w:bCs/>
          <w:iCs/>
          <w:sz w:val="24"/>
          <w:szCs w:val="24"/>
        </w:rPr>
        <w:fldChar w:fldCharType="separate"/>
      </w:r>
      <w:r w:rsidR="00F64FB0">
        <w:rPr>
          <w:rFonts w:ascii="Garamond" w:hAnsi="Garamond" w:cs="Times New Roman"/>
          <w:bCs/>
          <w:iCs/>
          <w:noProof/>
          <w:sz w:val="24"/>
          <w:szCs w:val="24"/>
        </w:rPr>
        <w:t>(Mossman, 1995)</w:t>
      </w:r>
      <w:r w:rsidR="00F64FB0">
        <w:rPr>
          <w:rFonts w:ascii="Garamond" w:hAnsi="Garamond" w:cs="Times New Roman"/>
          <w:bCs/>
          <w:iCs/>
          <w:sz w:val="24"/>
          <w:szCs w:val="24"/>
        </w:rPr>
        <w:fldChar w:fldCharType="end"/>
      </w:r>
      <w:r w:rsidR="006E4867" w:rsidRPr="00885EFA">
        <w:rPr>
          <w:rFonts w:ascii="Garamond" w:hAnsi="Garamond" w:cs="Times New Roman"/>
          <w:bCs/>
          <w:iCs/>
          <w:sz w:val="24"/>
          <w:szCs w:val="24"/>
        </w:rPr>
        <w:t>.</w:t>
      </w:r>
      <w:r w:rsidRPr="00885EFA">
        <w:rPr>
          <w:rFonts w:ascii="Garamond" w:hAnsi="Garamond" w:cs="Times New Roman"/>
          <w:bCs/>
          <w:iCs/>
          <w:sz w:val="24"/>
          <w:szCs w:val="24"/>
        </w:rPr>
        <w:t xml:space="preserve"> </w:t>
      </w:r>
      <w:r w:rsidR="00015720" w:rsidRPr="00885EFA">
        <w:rPr>
          <w:rFonts w:ascii="Garamond" w:hAnsi="Garamond" w:cs="Times New Roman"/>
          <w:bCs/>
          <w:iCs/>
          <w:sz w:val="24"/>
          <w:szCs w:val="24"/>
        </w:rPr>
        <w:t>GND</w:t>
      </w:r>
      <w:r w:rsidRPr="00885EFA">
        <w:rPr>
          <w:rFonts w:ascii="Garamond" w:hAnsi="Garamond" w:cs="Times New Roman"/>
          <w:bCs/>
          <w:iCs/>
          <w:sz w:val="24"/>
          <w:szCs w:val="24"/>
        </w:rPr>
        <w:t xml:space="preserve"> is also practicable</w:t>
      </w:r>
      <w:r w:rsidR="00F64FB0">
        <w:rPr>
          <w:rFonts w:ascii="Garamond" w:hAnsi="Garamond" w:cs="Times New Roman"/>
          <w:bCs/>
          <w:iCs/>
          <w:sz w:val="24"/>
          <w:szCs w:val="24"/>
        </w:rPr>
        <w:t xml:space="preserve"> </w:t>
      </w:r>
      <w:r w:rsidR="00F64FB0">
        <w:rPr>
          <w:rFonts w:ascii="Garamond" w:hAnsi="Garamond" w:cs="Times New Roman"/>
          <w:bCs/>
          <w:iCs/>
          <w:sz w:val="24"/>
          <w:szCs w:val="24"/>
        </w:rPr>
        <w:fldChar w:fldCharType="begin"/>
      </w:r>
      <w:r w:rsidR="00713DFE">
        <w:rPr>
          <w:rFonts w:ascii="Garamond" w:hAnsi="Garamond" w:cs="Times New Roman"/>
          <w:bCs/>
          <w:iCs/>
          <w:sz w:val="24"/>
          <w:szCs w:val="24"/>
        </w:rPr>
        <w:instrText xml:space="preserve"> ADDIN ZOTERO_ITEM CSL_CITATION {"citationID":"J63xZSiB","properties":{"formattedCitation":"(Petersson, 1999)","plainCitation":"(Petersson, 1999)","noteIndex":0},"citationItems":[{"id":686,"uris":["http://zotero.org/users/1070015/items/P39IM835"],"uri":["http://zotero.org/users/1070015/items/P39IM835"],"itemData":{"id":686,"type":"article-journal","container-title":"Statute Law Review","issue":"1","page":"35-65","title":"Gender Neutral Drafting: Recent Commonwealth Developments","volume":"20","author":[{"family":"Petersson","given":"Sandra"}],"issued":{"date-parts":[["1999"]]}}}],"schema":"https://github.com/citation-style-language/schema/raw/master/csl-citation.json"} </w:instrText>
      </w:r>
      <w:r w:rsidR="00F64FB0">
        <w:rPr>
          <w:rFonts w:ascii="Garamond" w:hAnsi="Garamond" w:cs="Times New Roman"/>
          <w:bCs/>
          <w:iCs/>
          <w:sz w:val="24"/>
          <w:szCs w:val="24"/>
        </w:rPr>
        <w:fldChar w:fldCharType="separate"/>
      </w:r>
      <w:r w:rsidR="00713DFE">
        <w:rPr>
          <w:rFonts w:ascii="Garamond" w:hAnsi="Garamond" w:cs="Times New Roman"/>
          <w:bCs/>
          <w:iCs/>
          <w:noProof/>
          <w:sz w:val="24"/>
          <w:szCs w:val="24"/>
        </w:rPr>
        <w:t>(Petersson, 1999)</w:t>
      </w:r>
      <w:r w:rsidR="00F64FB0">
        <w:rPr>
          <w:rFonts w:ascii="Garamond" w:hAnsi="Garamond" w:cs="Times New Roman"/>
          <w:bCs/>
          <w:iCs/>
          <w:sz w:val="24"/>
          <w:szCs w:val="24"/>
        </w:rPr>
        <w:fldChar w:fldCharType="end"/>
      </w:r>
      <w:r w:rsidRPr="00885EFA">
        <w:rPr>
          <w:rFonts w:ascii="Garamond" w:hAnsi="Garamond" w:cs="Times New Roman"/>
          <w:bCs/>
          <w:iCs/>
          <w:sz w:val="24"/>
          <w:szCs w:val="24"/>
        </w:rPr>
        <w:t xml:space="preserve">, provided that “it comes at no more than reasonable cost to brevity or </w:t>
      </w:r>
      <w:r w:rsidRPr="006B5B86">
        <w:rPr>
          <w:rFonts w:ascii="Garamond" w:hAnsi="Garamond" w:cs="Times New Roman"/>
          <w:bCs/>
          <w:iCs/>
          <w:sz w:val="24"/>
          <w:szCs w:val="24"/>
        </w:rPr>
        <w:t>intelligibility”</w:t>
      </w:r>
      <w:r w:rsidR="00713DFE" w:rsidRPr="006B5B86">
        <w:rPr>
          <w:rFonts w:ascii="Garamond" w:hAnsi="Garamond" w:cs="Times New Roman"/>
          <w:bCs/>
          <w:iCs/>
          <w:sz w:val="24"/>
          <w:szCs w:val="24"/>
        </w:rPr>
        <w:t>.</w:t>
      </w:r>
      <w:r w:rsidRPr="006B5B86">
        <w:rPr>
          <w:rStyle w:val="FootnoteReference"/>
          <w:rFonts w:ascii="Garamond" w:hAnsi="Garamond"/>
          <w:sz w:val="24"/>
          <w:szCs w:val="24"/>
        </w:rPr>
        <w:footnoteReference w:id="12"/>
      </w:r>
      <w:r w:rsidRPr="006B5B86">
        <w:rPr>
          <w:rFonts w:ascii="Garamond" w:hAnsi="Garamond" w:cs="Times New Roman"/>
          <w:bCs/>
          <w:iCs/>
          <w:sz w:val="24"/>
          <w:szCs w:val="24"/>
        </w:rPr>
        <w:t xml:space="preserve"> In</w:t>
      </w:r>
      <w:r w:rsidRPr="00885EFA">
        <w:rPr>
          <w:rFonts w:ascii="Garamond" w:hAnsi="Garamond" w:cs="Times New Roman"/>
          <w:bCs/>
          <w:iCs/>
          <w:sz w:val="24"/>
          <w:szCs w:val="24"/>
        </w:rPr>
        <w:t xml:space="preserve"> fact, there no technical reason why legislation should not be drafted in a way that avoids </w:t>
      </w:r>
      <w:r w:rsidRPr="006B5B86">
        <w:rPr>
          <w:rFonts w:ascii="Garamond" w:hAnsi="Garamond" w:cs="Times New Roman"/>
          <w:bCs/>
          <w:iCs/>
          <w:sz w:val="24"/>
          <w:szCs w:val="24"/>
        </w:rPr>
        <w:t>gender-specific pronouns</w:t>
      </w:r>
      <w:r w:rsidR="00CF4948" w:rsidRPr="006B5B86">
        <w:rPr>
          <w:rFonts w:ascii="Garamond" w:hAnsi="Garamond" w:cs="Times New Roman"/>
          <w:bCs/>
          <w:iCs/>
          <w:sz w:val="24"/>
          <w:szCs w:val="24"/>
        </w:rPr>
        <w:t xml:space="preserve"> </w:t>
      </w:r>
      <w:r w:rsidR="00CF4948" w:rsidRPr="006B5B86">
        <w:rPr>
          <w:rFonts w:ascii="Garamond" w:hAnsi="Garamond" w:cs="Times New Roman"/>
          <w:bCs/>
          <w:iCs/>
          <w:sz w:val="24"/>
          <w:szCs w:val="24"/>
        </w:rPr>
        <w:fldChar w:fldCharType="begin"/>
      </w:r>
      <w:r w:rsidR="00CF4948" w:rsidRPr="006B5B86">
        <w:rPr>
          <w:rFonts w:ascii="Garamond" w:hAnsi="Garamond" w:cs="Times New Roman"/>
          <w:bCs/>
          <w:iCs/>
          <w:sz w:val="24"/>
          <w:szCs w:val="24"/>
        </w:rPr>
        <w:instrText xml:space="preserve"> ADDIN ZOTERO_ITEM CSL_CITATION {"citationID":"AqoCy5Eh","properties":{"formattedCitation":"(Greenberg, 2008)","plainCitation":"(Greenberg, 2008)","noteIndex":0},"citationItems":[{"id":3567,"uris":["http://zotero.org/users/1070015/items/DTMNATAL"],"uri":["http://zotero.org/users/1070015/items/DTMNATAL"],"itemData":{"id":3567,"type":"book","abstract":"Contract Law covers the fundamental principles of contract law. Presented in a clear and accessible format, the text adopts an engaging style and explains the law in a critical and evaluative approach. Use of topical and relevant practical examples help draw out key principles and introductions to parts seek to link the law into its wider context.","source":"Amazon","title":"Craies on Legislation: A Practitioner's Guide to the Nature, Process, Effect and Interpretation of Legislation","title-short":"Craies on Legislation","author":[{"family":"Greenberg","given":"Daniel"}],"issued":{"date-parts":[["2008"]]}}}],"schema":"https://github.com/citation-style-language/schema/raw/master/csl-citation.json"} </w:instrText>
      </w:r>
      <w:r w:rsidR="00CF4948" w:rsidRPr="006B5B86">
        <w:rPr>
          <w:rFonts w:ascii="Garamond" w:hAnsi="Garamond" w:cs="Times New Roman"/>
          <w:bCs/>
          <w:iCs/>
          <w:sz w:val="24"/>
          <w:szCs w:val="24"/>
        </w:rPr>
        <w:fldChar w:fldCharType="separate"/>
      </w:r>
      <w:r w:rsidR="00CF4948" w:rsidRPr="006B5B86">
        <w:rPr>
          <w:rFonts w:ascii="Garamond" w:hAnsi="Garamond" w:cs="Times New Roman"/>
          <w:bCs/>
          <w:iCs/>
          <w:noProof/>
          <w:sz w:val="24"/>
          <w:szCs w:val="24"/>
        </w:rPr>
        <w:t>(Greenberg, 2008</w:t>
      </w:r>
      <w:r w:rsidR="00250F75">
        <w:rPr>
          <w:rFonts w:ascii="Garamond" w:hAnsi="Garamond" w:cs="Times New Roman"/>
          <w:bCs/>
          <w:iCs/>
          <w:noProof/>
          <w:sz w:val="24"/>
          <w:szCs w:val="24"/>
        </w:rPr>
        <w:t>b</w:t>
      </w:r>
      <w:r w:rsidR="00CF4948" w:rsidRPr="006B5B86">
        <w:rPr>
          <w:rFonts w:ascii="Garamond" w:hAnsi="Garamond" w:cs="Times New Roman"/>
          <w:bCs/>
          <w:iCs/>
          <w:noProof/>
          <w:sz w:val="24"/>
          <w:szCs w:val="24"/>
        </w:rPr>
        <w:t>)</w:t>
      </w:r>
      <w:r w:rsidR="00CF4948" w:rsidRPr="006B5B86">
        <w:rPr>
          <w:rFonts w:ascii="Garamond" w:hAnsi="Garamond" w:cs="Times New Roman"/>
          <w:bCs/>
          <w:iCs/>
          <w:sz w:val="24"/>
          <w:szCs w:val="24"/>
        </w:rPr>
        <w:fldChar w:fldCharType="end"/>
      </w:r>
      <w:r w:rsidRPr="006B5B86">
        <w:rPr>
          <w:rFonts w:ascii="Garamond" w:hAnsi="Garamond" w:cs="Times New Roman"/>
          <w:bCs/>
          <w:iCs/>
          <w:sz w:val="24"/>
          <w:szCs w:val="24"/>
        </w:rPr>
        <w:t>.</w:t>
      </w:r>
    </w:p>
    <w:p w14:paraId="1E8388F1" w14:textId="0882BA7C" w:rsidR="00096CFA" w:rsidRPr="00885EFA" w:rsidRDefault="00390BFF" w:rsidP="00A844FC">
      <w:pPr>
        <w:spacing w:line="480" w:lineRule="auto"/>
        <w:ind w:firstLine="720"/>
        <w:rPr>
          <w:rFonts w:ascii="Garamond" w:hAnsi="Garamond" w:cs="Times New Roman"/>
          <w:bCs/>
          <w:iCs/>
          <w:sz w:val="24"/>
          <w:szCs w:val="24"/>
        </w:rPr>
      </w:pPr>
      <w:r w:rsidRPr="00885EFA">
        <w:rPr>
          <w:rFonts w:ascii="Garamond" w:hAnsi="Garamond" w:cs="Times New Roman"/>
          <w:bCs/>
          <w:iCs/>
          <w:sz w:val="24"/>
          <w:szCs w:val="24"/>
        </w:rPr>
        <w:t xml:space="preserve">The identification of the most appropriate drafting technique for </w:t>
      </w:r>
      <w:r w:rsidR="00AF1C6E" w:rsidRPr="00885EFA">
        <w:rPr>
          <w:rFonts w:ascii="Garamond" w:hAnsi="Garamond" w:cs="Times New Roman"/>
          <w:bCs/>
          <w:iCs/>
          <w:sz w:val="24"/>
          <w:szCs w:val="24"/>
        </w:rPr>
        <w:t xml:space="preserve">the expression of </w:t>
      </w:r>
      <w:r w:rsidRPr="00885EFA">
        <w:rPr>
          <w:rFonts w:ascii="Garamond" w:hAnsi="Garamond" w:cs="Times New Roman"/>
          <w:bCs/>
          <w:iCs/>
          <w:sz w:val="24"/>
          <w:szCs w:val="24"/>
        </w:rPr>
        <w:t xml:space="preserve">gender in legislation can be undertaken by means of Thornton’s methodology for legislative drafting. Let </w:t>
      </w:r>
      <w:r w:rsidR="00172B9F" w:rsidRPr="00885EFA">
        <w:rPr>
          <w:rFonts w:ascii="Garamond" w:hAnsi="Garamond" w:cs="Times New Roman"/>
          <w:bCs/>
          <w:iCs/>
          <w:sz w:val="24"/>
          <w:szCs w:val="24"/>
        </w:rPr>
        <w:t>us</w:t>
      </w:r>
      <w:r w:rsidRPr="00885EFA">
        <w:rPr>
          <w:rFonts w:ascii="Garamond" w:hAnsi="Garamond" w:cs="Times New Roman"/>
          <w:bCs/>
          <w:iCs/>
          <w:sz w:val="24"/>
          <w:szCs w:val="24"/>
        </w:rPr>
        <w:t xml:space="preserve"> begin with stage 1, understanding the proposal. The objective of gender neutrality used to be equality between male and female. </w:t>
      </w:r>
      <w:r w:rsidR="00985D3E" w:rsidRPr="00885EFA">
        <w:rPr>
          <w:rFonts w:ascii="Garamond" w:hAnsi="Garamond" w:cs="Times New Roman"/>
          <w:bCs/>
          <w:iCs/>
          <w:sz w:val="24"/>
          <w:szCs w:val="24"/>
        </w:rPr>
        <w:t xml:space="preserve">Moving on to stage 2, analysing the proposal, leads us to the realisation that </w:t>
      </w:r>
      <w:r w:rsidR="00D03C7C" w:rsidRPr="00885EFA">
        <w:rPr>
          <w:rFonts w:ascii="Garamond" w:hAnsi="Garamond" w:cs="Times New Roman"/>
          <w:bCs/>
          <w:iCs/>
          <w:sz w:val="24"/>
          <w:szCs w:val="24"/>
        </w:rPr>
        <w:t xml:space="preserve">binary rigid approaches to sex and gender are no longer </w:t>
      </w:r>
      <w:r w:rsidR="00D03C7C" w:rsidRPr="00885EFA">
        <w:rPr>
          <w:rFonts w:ascii="Garamond" w:hAnsi="Garamond" w:cs="Times New Roman"/>
          <w:bCs/>
          <w:iCs/>
          <w:sz w:val="24"/>
          <w:szCs w:val="24"/>
        </w:rPr>
        <w:lastRenderedPageBreak/>
        <w:t xml:space="preserve">prevalent in </w:t>
      </w:r>
      <w:r w:rsidR="00D03C7C" w:rsidRPr="00126C08">
        <w:rPr>
          <w:rFonts w:ascii="Garamond" w:hAnsi="Garamond" w:cs="Times New Roman"/>
          <w:bCs/>
          <w:iCs/>
          <w:sz w:val="24"/>
          <w:szCs w:val="24"/>
        </w:rPr>
        <w:t>society</w:t>
      </w:r>
      <w:r w:rsidR="00985D3E" w:rsidRPr="00126C08">
        <w:rPr>
          <w:rFonts w:ascii="Garamond" w:hAnsi="Garamond" w:cs="Times New Roman"/>
          <w:bCs/>
          <w:iCs/>
          <w:sz w:val="24"/>
          <w:szCs w:val="24"/>
        </w:rPr>
        <w:t xml:space="preserve">. Gender </w:t>
      </w:r>
      <w:r w:rsidRPr="00CC2982">
        <w:rPr>
          <w:rFonts w:ascii="Garamond" w:hAnsi="Garamond" w:cs="Times New Roman"/>
          <w:bCs/>
          <w:iCs/>
          <w:sz w:val="24"/>
          <w:szCs w:val="24"/>
        </w:rPr>
        <w:t>inclusivity is now perceived</w:t>
      </w:r>
      <w:r w:rsidRPr="00126C08">
        <w:rPr>
          <w:rFonts w:ascii="Garamond" w:hAnsi="Garamond" w:cs="Times New Roman"/>
          <w:bCs/>
          <w:iCs/>
          <w:sz w:val="24"/>
          <w:szCs w:val="24"/>
        </w:rPr>
        <w:t xml:space="preserve"> by the LGBTQI+ community to extend far beyond two </w:t>
      </w:r>
      <w:r w:rsidR="00D03C7C" w:rsidRPr="00126C08">
        <w:rPr>
          <w:rFonts w:ascii="Garamond" w:hAnsi="Garamond" w:cs="Times New Roman"/>
          <w:bCs/>
          <w:iCs/>
          <w:sz w:val="24"/>
          <w:szCs w:val="24"/>
        </w:rPr>
        <w:t>sexes</w:t>
      </w:r>
      <w:r w:rsidR="00985D3E" w:rsidRPr="00126C08">
        <w:rPr>
          <w:rFonts w:ascii="Garamond" w:hAnsi="Garamond" w:cs="Times New Roman"/>
          <w:bCs/>
          <w:iCs/>
          <w:sz w:val="24"/>
          <w:szCs w:val="24"/>
        </w:rPr>
        <w:t xml:space="preserve">. The purpose of </w:t>
      </w:r>
      <w:r w:rsidR="00015720" w:rsidRPr="00126C08">
        <w:rPr>
          <w:rFonts w:ascii="Garamond" w:hAnsi="Garamond" w:cs="Times New Roman"/>
          <w:bCs/>
          <w:iCs/>
          <w:sz w:val="24"/>
          <w:szCs w:val="24"/>
        </w:rPr>
        <w:t>GIL</w:t>
      </w:r>
      <w:r w:rsidR="00985D3E" w:rsidRPr="00126C08">
        <w:rPr>
          <w:rFonts w:ascii="Garamond" w:hAnsi="Garamond" w:cs="Times New Roman"/>
          <w:bCs/>
          <w:iCs/>
          <w:sz w:val="24"/>
          <w:szCs w:val="24"/>
        </w:rPr>
        <w:t xml:space="preserve"> is to </w:t>
      </w:r>
      <w:r w:rsidR="003C40F8">
        <w:rPr>
          <w:rFonts w:ascii="Garamond" w:hAnsi="Garamond" w:cs="Times New Roman"/>
          <w:bCs/>
          <w:iCs/>
          <w:sz w:val="24"/>
          <w:szCs w:val="24"/>
        </w:rPr>
        <w:t>remove</w:t>
      </w:r>
      <w:r w:rsidR="00985D3E" w:rsidRPr="00126C08">
        <w:rPr>
          <w:rFonts w:ascii="Garamond" w:hAnsi="Garamond" w:cs="Times New Roman"/>
          <w:bCs/>
          <w:iCs/>
          <w:sz w:val="24"/>
          <w:szCs w:val="24"/>
        </w:rPr>
        <w:t xml:space="preserve"> gender </w:t>
      </w:r>
      <w:r w:rsidR="003C40F8">
        <w:rPr>
          <w:rFonts w:ascii="Garamond" w:hAnsi="Garamond" w:cs="Times New Roman"/>
          <w:bCs/>
          <w:iCs/>
          <w:sz w:val="24"/>
          <w:szCs w:val="24"/>
        </w:rPr>
        <w:t>as a characteristic</w:t>
      </w:r>
      <w:r w:rsidR="00985D3E" w:rsidRPr="00126C08">
        <w:rPr>
          <w:rFonts w:ascii="Garamond" w:hAnsi="Garamond" w:cs="Times New Roman"/>
          <w:bCs/>
          <w:iCs/>
          <w:sz w:val="24"/>
          <w:szCs w:val="24"/>
        </w:rPr>
        <w:t xml:space="preserve"> of the </w:t>
      </w:r>
      <w:r w:rsidR="003C40F8">
        <w:rPr>
          <w:rFonts w:ascii="Garamond" w:hAnsi="Garamond" w:cs="Times New Roman"/>
          <w:bCs/>
          <w:iCs/>
          <w:sz w:val="24"/>
          <w:szCs w:val="24"/>
        </w:rPr>
        <w:t>legislative subject</w:t>
      </w:r>
      <w:r w:rsidR="00985D3E" w:rsidRPr="00126C08">
        <w:rPr>
          <w:rFonts w:ascii="Garamond" w:hAnsi="Garamond" w:cs="Times New Roman"/>
          <w:bCs/>
          <w:iCs/>
          <w:sz w:val="24"/>
          <w:szCs w:val="24"/>
        </w:rPr>
        <w:t>, as a</w:t>
      </w:r>
      <w:r w:rsidR="00985D3E" w:rsidRPr="00885EFA">
        <w:rPr>
          <w:rFonts w:ascii="Garamond" w:hAnsi="Garamond" w:cs="Times New Roman"/>
          <w:bCs/>
          <w:iCs/>
          <w:sz w:val="24"/>
          <w:szCs w:val="24"/>
        </w:rPr>
        <w:t xml:space="preserve"> means of putting </w:t>
      </w:r>
      <w:r w:rsidR="005D0508">
        <w:rPr>
          <w:rFonts w:ascii="Garamond" w:hAnsi="Garamond" w:cs="Times New Roman"/>
          <w:bCs/>
          <w:iCs/>
          <w:sz w:val="24"/>
          <w:szCs w:val="24"/>
        </w:rPr>
        <w:t>in</w:t>
      </w:r>
      <w:r w:rsidR="00985D3E" w:rsidRPr="00885EFA">
        <w:rPr>
          <w:rFonts w:ascii="Garamond" w:hAnsi="Garamond" w:cs="Times New Roman"/>
          <w:bCs/>
          <w:iCs/>
          <w:sz w:val="24"/>
          <w:szCs w:val="24"/>
        </w:rPr>
        <w:t xml:space="preserve">to effect </w:t>
      </w:r>
      <w:r w:rsidR="003C40F8">
        <w:rPr>
          <w:rFonts w:ascii="Garamond" w:hAnsi="Garamond" w:cs="Times New Roman"/>
          <w:bCs/>
          <w:iCs/>
          <w:sz w:val="24"/>
          <w:szCs w:val="24"/>
        </w:rPr>
        <w:t xml:space="preserve">the fact </w:t>
      </w:r>
      <w:r w:rsidR="00985D3E" w:rsidRPr="00885EFA">
        <w:rPr>
          <w:rFonts w:ascii="Garamond" w:hAnsi="Garamond" w:cs="Times New Roman"/>
          <w:bCs/>
          <w:iCs/>
          <w:sz w:val="24"/>
          <w:szCs w:val="24"/>
        </w:rPr>
        <w:t>that gender is not a relevant factor in the eyes of the law, unless of course</w:t>
      </w:r>
      <w:r w:rsidR="00D03C7C" w:rsidRPr="00885EFA">
        <w:rPr>
          <w:rFonts w:ascii="Garamond" w:hAnsi="Garamond" w:cs="Times New Roman"/>
          <w:bCs/>
          <w:iCs/>
          <w:sz w:val="24"/>
          <w:szCs w:val="24"/>
        </w:rPr>
        <w:t xml:space="preserve"> sex and </w:t>
      </w:r>
      <w:r w:rsidR="00985D3E" w:rsidRPr="00885EFA">
        <w:rPr>
          <w:rFonts w:ascii="Garamond" w:hAnsi="Garamond" w:cs="Times New Roman"/>
          <w:bCs/>
          <w:iCs/>
          <w:sz w:val="24"/>
          <w:szCs w:val="24"/>
        </w:rPr>
        <w:t xml:space="preserve">gender specificity is required. Moving on to stage 3, designing the legislative solution, one is led to identify a language structure that ignores gender considerations whilst serving clarity, precision, and unambiguity in its widest subject inclusiveness. </w:t>
      </w:r>
      <w:r w:rsidR="00172B9F" w:rsidRPr="00885EFA">
        <w:rPr>
          <w:rFonts w:ascii="Garamond" w:hAnsi="Garamond" w:cs="Times New Roman"/>
          <w:bCs/>
          <w:iCs/>
          <w:sz w:val="24"/>
          <w:szCs w:val="24"/>
        </w:rPr>
        <w:t>H</w:t>
      </w:r>
      <w:r w:rsidR="00985D3E" w:rsidRPr="00885EFA">
        <w:rPr>
          <w:rFonts w:ascii="Garamond" w:hAnsi="Garamond" w:cs="Times New Roman"/>
          <w:bCs/>
          <w:iCs/>
          <w:sz w:val="24"/>
          <w:szCs w:val="24"/>
        </w:rPr>
        <w:t xml:space="preserve">ere lies the revelation: current language structures are bound </w:t>
      </w:r>
      <w:r w:rsidR="00096CFA" w:rsidRPr="00885EFA">
        <w:rPr>
          <w:rFonts w:ascii="Garamond" w:hAnsi="Garamond" w:cs="Times New Roman"/>
          <w:bCs/>
          <w:iCs/>
          <w:sz w:val="24"/>
          <w:szCs w:val="24"/>
        </w:rPr>
        <w:t xml:space="preserve">to </w:t>
      </w:r>
      <w:r w:rsidR="00AF1C6E" w:rsidRPr="00885EFA">
        <w:rPr>
          <w:rFonts w:ascii="Garamond" w:hAnsi="Garamond" w:cs="Times New Roman"/>
          <w:bCs/>
          <w:iCs/>
          <w:sz w:val="24"/>
          <w:szCs w:val="24"/>
        </w:rPr>
        <w:t xml:space="preserve">grammatical </w:t>
      </w:r>
      <w:r w:rsidR="00985D3E" w:rsidRPr="00885EFA">
        <w:rPr>
          <w:rFonts w:ascii="Garamond" w:hAnsi="Garamond" w:cs="Times New Roman"/>
          <w:bCs/>
          <w:iCs/>
          <w:sz w:val="24"/>
          <w:szCs w:val="24"/>
        </w:rPr>
        <w:t xml:space="preserve">expression that is intrinsically linked to male/female/neutral (in some languages). </w:t>
      </w:r>
      <w:r w:rsidR="00096CFA" w:rsidRPr="00885EFA">
        <w:rPr>
          <w:rFonts w:ascii="Garamond" w:hAnsi="Garamond" w:cs="Times New Roman"/>
          <w:bCs/>
          <w:iCs/>
          <w:sz w:val="24"/>
          <w:szCs w:val="24"/>
        </w:rPr>
        <w:t xml:space="preserve">And therefore, in moving to stage 4 and composition, the only solution available seems to be to depart from current language and introduce a new gender inclusive form of words. For stage 5, verification, one can add that a new </w:t>
      </w:r>
      <w:r w:rsidR="00AF1C6E" w:rsidRPr="00885EFA">
        <w:rPr>
          <w:rFonts w:ascii="Garamond" w:hAnsi="Garamond" w:cs="Times New Roman"/>
          <w:bCs/>
          <w:iCs/>
          <w:sz w:val="24"/>
          <w:szCs w:val="24"/>
        </w:rPr>
        <w:t>GI</w:t>
      </w:r>
      <w:r w:rsidR="00096CFA" w:rsidRPr="00885EFA">
        <w:rPr>
          <w:rFonts w:ascii="Garamond" w:hAnsi="Garamond" w:cs="Times New Roman"/>
          <w:bCs/>
          <w:iCs/>
          <w:sz w:val="24"/>
          <w:szCs w:val="24"/>
        </w:rPr>
        <w:t xml:space="preserve"> expression serves the purpose of inclusivity both as an expression but also as a novelty that can attract attention to the new inclusivity ethos.</w:t>
      </w:r>
    </w:p>
    <w:p w14:paraId="37294384" w14:textId="37D934D0" w:rsidR="00B744B6" w:rsidRPr="00885EFA" w:rsidRDefault="00AF1C6E" w:rsidP="00A844FC">
      <w:pPr>
        <w:spacing w:line="480" w:lineRule="auto"/>
        <w:ind w:firstLine="720"/>
        <w:rPr>
          <w:rFonts w:ascii="Garamond" w:hAnsi="Garamond" w:cs="Times New Roman"/>
          <w:bCs/>
          <w:iCs/>
          <w:sz w:val="24"/>
          <w:szCs w:val="24"/>
        </w:rPr>
      </w:pPr>
      <w:r w:rsidRPr="00885EFA">
        <w:rPr>
          <w:rFonts w:ascii="Garamond" w:hAnsi="Garamond" w:cs="Times New Roman"/>
          <w:bCs/>
          <w:iCs/>
          <w:sz w:val="24"/>
          <w:szCs w:val="24"/>
        </w:rPr>
        <w:t>If generic legislative expression aims to pursue clarity by removing sex and gender from the relevant characteristics of the generic legislative user, then gender inclusivity seems to serve best. Thus, gender specific terms (such as “he”, “she” in all their forms</w:t>
      </w:r>
      <w:r w:rsidR="00B744B6" w:rsidRPr="00885EFA">
        <w:rPr>
          <w:rFonts w:ascii="Garamond" w:hAnsi="Garamond" w:cs="Times New Roman"/>
          <w:bCs/>
          <w:iCs/>
          <w:sz w:val="24"/>
          <w:szCs w:val="24"/>
          <w:lang w:val="en-US"/>
        </w:rPr>
        <w:t xml:space="preserve">) </w:t>
      </w:r>
      <w:r w:rsidR="006E4867" w:rsidRPr="00885EFA">
        <w:rPr>
          <w:rFonts w:ascii="Garamond" w:hAnsi="Garamond" w:cs="Times New Roman"/>
          <w:bCs/>
          <w:iCs/>
          <w:sz w:val="24"/>
          <w:szCs w:val="24"/>
          <w:lang w:val="en-US"/>
        </w:rPr>
        <w:t xml:space="preserve">are to be used only when referring to </w:t>
      </w:r>
      <w:r w:rsidRPr="00885EFA">
        <w:rPr>
          <w:rFonts w:ascii="Garamond" w:hAnsi="Garamond" w:cs="Times New Roman"/>
          <w:bCs/>
          <w:iCs/>
          <w:sz w:val="24"/>
          <w:szCs w:val="24"/>
          <w:lang w:val="en-US"/>
        </w:rPr>
        <w:t xml:space="preserve">just </w:t>
      </w:r>
      <w:r w:rsidR="006E4867" w:rsidRPr="00885EFA">
        <w:rPr>
          <w:rFonts w:ascii="Garamond" w:hAnsi="Garamond" w:cs="Times New Roman"/>
          <w:bCs/>
          <w:iCs/>
          <w:sz w:val="24"/>
          <w:szCs w:val="24"/>
          <w:lang w:val="en-US"/>
        </w:rPr>
        <w:t>a male</w:t>
      </w:r>
      <w:r w:rsidRPr="00885EFA">
        <w:rPr>
          <w:rFonts w:ascii="Garamond" w:hAnsi="Garamond" w:cs="Times New Roman"/>
          <w:bCs/>
          <w:iCs/>
          <w:sz w:val="24"/>
          <w:szCs w:val="24"/>
          <w:lang w:val="en-US"/>
        </w:rPr>
        <w:t>,</w:t>
      </w:r>
      <w:r w:rsidR="006E4867" w:rsidRPr="00885EFA">
        <w:rPr>
          <w:rFonts w:ascii="Garamond" w:hAnsi="Garamond" w:cs="Times New Roman"/>
          <w:bCs/>
          <w:iCs/>
          <w:sz w:val="24"/>
          <w:szCs w:val="24"/>
          <w:lang w:val="en-US"/>
        </w:rPr>
        <w:t xml:space="preserve"> </w:t>
      </w:r>
      <w:r w:rsidRPr="00885EFA">
        <w:rPr>
          <w:rFonts w:ascii="Garamond" w:hAnsi="Garamond" w:cs="Times New Roman"/>
          <w:bCs/>
          <w:iCs/>
          <w:sz w:val="24"/>
          <w:szCs w:val="24"/>
          <w:lang w:val="en-US"/>
        </w:rPr>
        <w:t xml:space="preserve">or just a female </w:t>
      </w:r>
      <w:r w:rsidR="006E4867" w:rsidRPr="00885EFA">
        <w:rPr>
          <w:rFonts w:ascii="Garamond" w:hAnsi="Garamond" w:cs="Times New Roman"/>
          <w:bCs/>
          <w:iCs/>
          <w:sz w:val="24"/>
          <w:szCs w:val="24"/>
          <w:lang w:val="en-US"/>
        </w:rPr>
        <w:t>person.</w:t>
      </w:r>
      <w:r w:rsidR="00B744B6" w:rsidRPr="00885EFA">
        <w:rPr>
          <w:rFonts w:ascii="Garamond" w:hAnsi="Garamond" w:cs="Times New Roman"/>
          <w:bCs/>
          <w:iCs/>
          <w:sz w:val="24"/>
          <w:szCs w:val="24"/>
          <w:lang w:val="en-US"/>
        </w:rPr>
        <w:t xml:space="preserve"> </w:t>
      </w:r>
      <w:r w:rsidR="0044688F" w:rsidRPr="00885EFA">
        <w:rPr>
          <w:rFonts w:ascii="Garamond" w:hAnsi="Garamond" w:cs="Times New Roman"/>
          <w:bCs/>
          <w:iCs/>
          <w:sz w:val="24"/>
          <w:szCs w:val="24"/>
          <w:lang w:val="en-US"/>
        </w:rPr>
        <w:t>Moreover, gender neutral terms (such as t</w:t>
      </w:r>
      <w:r w:rsidR="006E4867" w:rsidRPr="00885EFA">
        <w:rPr>
          <w:rFonts w:ascii="Garamond" w:hAnsi="Garamond" w:cs="Times New Roman"/>
          <w:bCs/>
          <w:iCs/>
          <w:sz w:val="24"/>
          <w:szCs w:val="24"/>
          <w:lang w:val="en-US"/>
        </w:rPr>
        <w:t>he prevalent in the US</w:t>
      </w:r>
      <w:r w:rsidR="005D405E">
        <w:rPr>
          <w:rFonts w:ascii="Garamond" w:hAnsi="Garamond" w:cs="Times New Roman"/>
          <w:bCs/>
          <w:iCs/>
          <w:sz w:val="24"/>
          <w:szCs w:val="24"/>
          <w:lang w:val="en-US"/>
        </w:rPr>
        <w:t xml:space="preserve"> </w:t>
      </w:r>
      <w:r w:rsidR="005D405E">
        <w:rPr>
          <w:rFonts w:ascii="Garamond" w:hAnsi="Garamond" w:cs="Times New Roman"/>
          <w:bCs/>
          <w:iCs/>
          <w:sz w:val="24"/>
          <w:szCs w:val="24"/>
          <w:lang w:val="en-US"/>
        </w:rPr>
        <w:fldChar w:fldCharType="begin"/>
      </w:r>
      <w:r w:rsidR="005D405E">
        <w:rPr>
          <w:rFonts w:ascii="Garamond" w:hAnsi="Garamond" w:cs="Times New Roman"/>
          <w:bCs/>
          <w:iCs/>
          <w:sz w:val="24"/>
          <w:szCs w:val="24"/>
          <w:lang w:val="en-US"/>
        </w:rPr>
        <w:instrText xml:space="preserve"> ADDIN ZOTERO_ITEM CSL_CITATION {"citationID":"eNzEJAcv","properties":{"formattedCitation":"(Williams, 2008)","plainCitation":"(Williams, 2008)","noteIndex":0},"citationItems":[{"id":1048,"uris":["http://zotero.org/users/1070015/items/LTV2CQK7"],"uri":["http://zotero.org/users/1070015/items/LTV2CQK7"],"itemData":{"id":1048,"type":"article-journal","abstract":"With the burgeoning of the feminist movement in the western world during the latter half of the 20th century, the question of drafting legislative texts accordi","container-title":"Statute Law Review","DOI":"10.1093/slr/hmn015","ISSN":"0144-3593","issue":"3","journalAbbreviation":"Statute Law Rev","language":"en","page":"139-153","source":"academic.oup.com","title":"The End of the ‘Masculine Rule’? Gender-Neutral Legislative Drafting in the United Kingdom and Ireland","title-short":"The End of the ‘Masculine Rule’?","volume":"29","author":[{"family":"Williams","given":"Christopher"}],"issued":{"date-parts":[["2008",10,1]]}}}],"schema":"https://github.com/citation-style-language/schema/raw/master/csl-citation.json"} </w:instrText>
      </w:r>
      <w:r w:rsidR="005D405E">
        <w:rPr>
          <w:rFonts w:ascii="Garamond" w:hAnsi="Garamond" w:cs="Times New Roman"/>
          <w:bCs/>
          <w:iCs/>
          <w:sz w:val="24"/>
          <w:szCs w:val="24"/>
          <w:lang w:val="en-US"/>
        </w:rPr>
        <w:fldChar w:fldCharType="separate"/>
      </w:r>
      <w:r w:rsidR="005D405E">
        <w:rPr>
          <w:rFonts w:ascii="Garamond" w:hAnsi="Garamond" w:cs="Times New Roman"/>
          <w:bCs/>
          <w:iCs/>
          <w:noProof/>
          <w:sz w:val="24"/>
          <w:szCs w:val="24"/>
          <w:lang w:val="en-US"/>
        </w:rPr>
        <w:t>(Williams, 2008)</w:t>
      </w:r>
      <w:r w:rsidR="005D405E">
        <w:rPr>
          <w:rFonts w:ascii="Garamond" w:hAnsi="Garamond" w:cs="Times New Roman"/>
          <w:bCs/>
          <w:iCs/>
          <w:sz w:val="24"/>
          <w:szCs w:val="24"/>
          <w:lang w:val="en-US"/>
        </w:rPr>
        <w:fldChar w:fldCharType="end"/>
      </w:r>
      <w:r w:rsidR="006E4867" w:rsidRPr="00885EFA">
        <w:rPr>
          <w:rFonts w:ascii="Garamond" w:hAnsi="Garamond" w:cs="Times New Roman"/>
          <w:bCs/>
          <w:iCs/>
          <w:sz w:val="24"/>
          <w:szCs w:val="24"/>
          <w:lang w:val="en-US"/>
        </w:rPr>
        <w:t xml:space="preserve"> </w:t>
      </w:r>
      <w:r w:rsidR="00B744B6" w:rsidRPr="00885EFA">
        <w:rPr>
          <w:rFonts w:ascii="Garamond" w:hAnsi="Garamond" w:cs="Times New Roman"/>
          <w:bCs/>
          <w:iCs/>
          <w:sz w:val="24"/>
          <w:szCs w:val="24"/>
          <w:lang w:val="en-US"/>
        </w:rPr>
        <w:t>“</w:t>
      </w:r>
      <w:r w:rsidR="006E4867" w:rsidRPr="00885EFA">
        <w:rPr>
          <w:rFonts w:ascii="Garamond" w:hAnsi="Garamond" w:cs="Times New Roman"/>
          <w:bCs/>
          <w:iCs/>
          <w:sz w:val="24"/>
          <w:szCs w:val="24"/>
          <w:lang w:val="en-US"/>
        </w:rPr>
        <w:t>he and she</w:t>
      </w:r>
      <w:r w:rsidR="00B744B6" w:rsidRPr="00885EFA">
        <w:rPr>
          <w:rFonts w:ascii="Garamond" w:hAnsi="Garamond" w:cs="Times New Roman"/>
          <w:bCs/>
          <w:iCs/>
          <w:sz w:val="24"/>
          <w:szCs w:val="24"/>
          <w:lang w:val="en-US"/>
        </w:rPr>
        <w:t>”</w:t>
      </w:r>
      <w:r w:rsidR="006E4867" w:rsidRPr="00885EFA">
        <w:rPr>
          <w:rFonts w:ascii="Garamond" w:hAnsi="Garamond" w:cs="Times New Roman"/>
          <w:bCs/>
          <w:iCs/>
          <w:sz w:val="24"/>
          <w:szCs w:val="24"/>
          <w:lang w:val="en-US"/>
        </w:rPr>
        <w:t xml:space="preserve">, </w:t>
      </w:r>
      <w:r w:rsidR="00B744B6" w:rsidRPr="00885EFA">
        <w:rPr>
          <w:rFonts w:ascii="Garamond" w:hAnsi="Garamond" w:cs="Times New Roman"/>
          <w:bCs/>
          <w:iCs/>
          <w:sz w:val="24"/>
          <w:szCs w:val="24"/>
          <w:lang w:val="en-US"/>
        </w:rPr>
        <w:t>“</w:t>
      </w:r>
      <w:r w:rsidR="006E4867" w:rsidRPr="00885EFA">
        <w:rPr>
          <w:rFonts w:ascii="Garamond" w:hAnsi="Garamond" w:cs="Times New Roman"/>
          <w:bCs/>
          <w:iCs/>
          <w:sz w:val="24"/>
          <w:szCs w:val="24"/>
          <w:lang w:val="en-US"/>
        </w:rPr>
        <w:t>he/she</w:t>
      </w:r>
      <w:r w:rsidR="00B744B6" w:rsidRPr="00885EFA">
        <w:rPr>
          <w:rFonts w:ascii="Garamond" w:hAnsi="Garamond" w:cs="Times New Roman"/>
          <w:bCs/>
          <w:iCs/>
          <w:sz w:val="24"/>
          <w:szCs w:val="24"/>
          <w:lang w:val="en-US"/>
        </w:rPr>
        <w:t>”, or “</w:t>
      </w:r>
      <w:r w:rsidR="006E4867" w:rsidRPr="00885EFA">
        <w:rPr>
          <w:rFonts w:ascii="Garamond" w:hAnsi="Garamond" w:cs="Times New Roman"/>
          <w:bCs/>
          <w:iCs/>
          <w:sz w:val="24"/>
          <w:szCs w:val="24"/>
          <w:lang w:val="en-US"/>
        </w:rPr>
        <w:t>s/he</w:t>
      </w:r>
      <w:r w:rsidR="00B744B6" w:rsidRPr="00885EFA">
        <w:rPr>
          <w:rFonts w:ascii="Garamond" w:hAnsi="Garamond" w:cs="Times New Roman"/>
          <w:bCs/>
          <w:iCs/>
          <w:sz w:val="24"/>
          <w:szCs w:val="24"/>
          <w:lang w:val="en-US"/>
        </w:rPr>
        <w:t>”</w:t>
      </w:r>
      <w:r w:rsidR="0044688F" w:rsidRPr="00885EFA">
        <w:rPr>
          <w:rFonts w:ascii="Garamond" w:hAnsi="Garamond" w:cs="Times New Roman"/>
          <w:bCs/>
          <w:iCs/>
          <w:sz w:val="24"/>
          <w:szCs w:val="24"/>
          <w:lang w:val="en-US"/>
        </w:rPr>
        <w:t>) are to be used for binary expression only. In other words, there is a place for more than one technique, as there is a place for more than one regulatory goal</w:t>
      </w:r>
      <w:r w:rsidR="009B4952" w:rsidRPr="00885EFA">
        <w:rPr>
          <w:rFonts w:ascii="Garamond" w:hAnsi="Garamond" w:cs="Times New Roman"/>
          <w:bCs/>
          <w:iCs/>
          <w:sz w:val="24"/>
          <w:szCs w:val="24"/>
          <w:lang w:val="en-US"/>
        </w:rPr>
        <w:t xml:space="preserve"> </w:t>
      </w:r>
      <w:r w:rsidR="0044688F" w:rsidRPr="00885EFA">
        <w:rPr>
          <w:rFonts w:ascii="Garamond" w:hAnsi="Garamond" w:cs="Times New Roman"/>
          <w:bCs/>
          <w:iCs/>
          <w:sz w:val="24"/>
          <w:szCs w:val="24"/>
          <w:lang w:val="en-US"/>
        </w:rPr>
        <w:t xml:space="preserve">related to gender. Where gender specificity is pursued, for example, for the introduction of affirmative action supporting women, then legislative expression can and must only be gender specific. This serves clarity of expression, which in turn informs clarity of the legislative communication, legislative effectiveness, and ultimately regulatory efficacy. Where gender neutrality is pursued, then gender neutral drafting techniques serve gender neutral regulatory goals. But in generic legislative communication, which requires gender inclusivity, it is the latter that serves best. </w:t>
      </w:r>
    </w:p>
    <w:p w14:paraId="78BE877B" w14:textId="07945815" w:rsidR="008846FA" w:rsidRDefault="006D639E" w:rsidP="00A844FC">
      <w:pPr>
        <w:spacing w:line="480" w:lineRule="auto"/>
        <w:ind w:firstLine="720"/>
        <w:rPr>
          <w:rFonts w:ascii="Garamond" w:hAnsi="Garamond" w:cs="Times New Roman"/>
          <w:bCs/>
          <w:i/>
          <w:iCs/>
          <w:sz w:val="24"/>
          <w:szCs w:val="24"/>
        </w:rPr>
      </w:pPr>
      <w:r w:rsidRPr="00885EFA">
        <w:rPr>
          <w:rFonts w:ascii="Garamond" w:hAnsi="Garamond" w:cs="Times New Roman"/>
          <w:bCs/>
          <w:iCs/>
          <w:sz w:val="24"/>
          <w:szCs w:val="24"/>
        </w:rPr>
        <w:lastRenderedPageBreak/>
        <w:t xml:space="preserve">The preferred technique for real gender inclusivity is the use of </w:t>
      </w:r>
      <w:r w:rsidR="006E4867" w:rsidRPr="00885EFA">
        <w:rPr>
          <w:rFonts w:ascii="Garamond" w:hAnsi="Garamond" w:cs="Times New Roman"/>
          <w:bCs/>
          <w:iCs/>
          <w:sz w:val="24"/>
          <w:szCs w:val="24"/>
        </w:rPr>
        <w:t xml:space="preserve">the singular </w:t>
      </w:r>
      <w:r w:rsidRPr="00885EFA">
        <w:rPr>
          <w:rFonts w:ascii="Garamond" w:hAnsi="Garamond" w:cs="Times New Roman"/>
          <w:bCs/>
          <w:iCs/>
          <w:sz w:val="24"/>
          <w:szCs w:val="24"/>
        </w:rPr>
        <w:t>“</w:t>
      </w:r>
      <w:r w:rsidR="006E4867" w:rsidRPr="00885EFA">
        <w:rPr>
          <w:rFonts w:ascii="Garamond" w:hAnsi="Garamond" w:cs="Times New Roman"/>
          <w:bCs/>
          <w:iCs/>
          <w:sz w:val="24"/>
          <w:szCs w:val="24"/>
        </w:rPr>
        <w:t>they</w:t>
      </w:r>
      <w:r w:rsidRPr="00885EFA">
        <w:rPr>
          <w:rFonts w:ascii="Garamond" w:hAnsi="Garamond" w:cs="Times New Roman"/>
          <w:bCs/>
          <w:iCs/>
          <w:sz w:val="24"/>
          <w:szCs w:val="24"/>
        </w:rPr>
        <w:t>”</w:t>
      </w:r>
      <w:r w:rsidR="00CA20C3" w:rsidRPr="00885EFA">
        <w:rPr>
          <w:rFonts w:ascii="Garamond" w:hAnsi="Garamond" w:cs="Times New Roman"/>
          <w:bCs/>
          <w:iCs/>
          <w:sz w:val="24"/>
          <w:szCs w:val="24"/>
        </w:rPr>
        <w:t xml:space="preserve">. </w:t>
      </w:r>
      <w:r w:rsidR="006E4867" w:rsidRPr="00885EFA">
        <w:rPr>
          <w:rFonts w:ascii="Garamond" w:hAnsi="Garamond" w:cs="Times New Roman"/>
          <w:bCs/>
          <w:sz w:val="24"/>
          <w:szCs w:val="24"/>
        </w:rPr>
        <w:t>Th</w:t>
      </w:r>
      <w:r w:rsidR="00CA20C3" w:rsidRPr="00885EFA">
        <w:rPr>
          <w:rFonts w:ascii="Garamond" w:hAnsi="Garamond" w:cs="Times New Roman"/>
          <w:bCs/>
          <w:sz w:val="24"/>
          <w:szCs w:val="24"/>
        </w:rPr>
        <w:t xml:space="preserve">is </w:t>
      </w:r>
      <w:r w:rsidR="006E4867" w:rsidRPr="00885EFA">
        <w:rPr>
          <w:rFonts w:ascii="Garamond" w:hAnsi="Garamond" w:cs="Times New Roman"/>
          <w:bCs/>
          <w:sz w:val="24"/>
          <w:szCs w:val="24"/>
        </w:rPr>
        <w:t>technique was favoured by authors prior to the nineteenth century</w:t>
      </w:r>
      <w:r w:rsidR="00FF754E">
        <w:rPr>
          <w:rFonts w:ascii="Garamond" w:hAnsi="Garamond" w:cs="Times New Roman"/>
          <w:bCs/>
          <w:sz w:val="24"/>
          <w:szCs w:val="24"/>
        </w:rPr>
        <w:t xml:space="preserve"> </w:t>
      </w:r>
      <w:r w:rsidR="00FF754E">
        <w:rPr>
          <w:rFonts w:ascii="Garamond" w:hAnsi="Garamond" w:cs="Times New Roman"/>
          <w:bCs/>
          <w:sz w:val="24"/>
          <w:szCs w:val="24"/>
        </w:rPr>
        <w:fldChar w:fldCharType="begin"/>
      </w:r>
      <w:r w:rsidR="0094098F">
        <w:rPr>
          <w:rFonts w:ascii="Garamond" w:hAnsi="Garamond" w:cs="Times New Roman"/>
          <w:bCs/>
          <w:sz w:val="24"/>
          <w:szCs w:val="24"/>
        </w:rPr>
        <w:instrText xml:space="preserve"> ADDIN ZOTERO_ITEM CSL_CITATION {"citationID":"qGQltJoh","properties":{"formattedCitation":"(Bodine, 1975; Petersson, 1998)","plainCitation":"(Bodine, 1975; Petersson, 1998)","noteIndex":0},"citationItems":[{"id":3569,"uris":["http://zotero.org/users/1070015/items/WGJXYJB6"],"uri":["http://zotero.org/users/1070015/items/WGJXYJB6"],"itemData":{"id":3569,"type":"article-journal","abstract":"This paper demonstrates that prior to the beginning of the prescriptive grammar movement in English, singular 'they' was both accepted and widespread. I...","container-title":"Language in Society","issue":"2","language":"en","page":"129-146","title":"Androcentrism in Prescriptive Grammar: Singular 'They', Sex-Indefinite 'He', and 'He or She' on JSTOR","title-short":"Androcentrism in Prescriptive Grammar","volume":"4","author":[{"family":"Bodine","given":"Ann"}],"issued":{"date-parts":[["1975"]]}}},{"id":744,"uris":["http://zotero.org/users/1070015/items/AQ5XPTXK"],"uri":["http://zotero.org/users/1070015/items/AQ5XPTXK"],"itemData":{"id":744,"type":"article-journal","container-title":"Statute Law Review","DOI":"10.1093/slr/19.2.93","ISSN":"0144-3593, 1464-3863","issue":"2","language":"en","page":"93-112","source":"Crossref","title":"Gender Neutral Drafting: Historical Perspective","title-short":"Gender Neutral Drafting","volume":"19","author":[{"family":"Petersson","given":"S."}],"issued":{"date-parts":[["1998",1,1]]}}}],"schema":"https://github.com/citation-style-language/schema/raw/master/csl-citation.json"} </w:instrText>
      </w:r>
      <w:r w:rsidR="00FF754E">
        <w:rPr>
          <w:rFonts w:ascii="Garamond" w:hAnsi="Garamond" w:cs="Times New Roman"/>
          <w:bCs/>
          <w:sz w:val="24"/>
          <w:szCs w:val="24"/>
        </w:rPr>
        <w:fldChar w:fldCharType="separate"/>
      </w:r>
      <w:r w:rsidR="0094098F">
        <w:rPr>
          <w:rFonts w:ascii="Garamond" w:hAnsi="Garamond" w:cs="Times New Roman"/>
          <w:bCs/>
          <w:noProof/>
          <w:sz w:val="24"/>
          <w:szCs w:val="24"/>
        </w:rPr>
        <w:t>(Bodine, 1975; Petersson, 1998)</w:t>
      </w:r>
      <w:r w:rsidR="00FF754E">
        <w:rPr>
          <w:rFonts w:ascii="Garamond" w:hAnsi="Garamond" w:cs="Times New Roman"/>
          <w:bCs/>
          <w:sz w:val="24"/>
          <w:szCs w:val="24"/>
        </w:rPr>
        <w:fldChar w:fldCharType="end"/>
      </w:r>
      <w:r w:rsidR="006E4867" w:rsidRPr="00885EFA">
        <w:rPr>
          <w:rFonts w:ascii="Garamond" w:hAnsi="Garamond" w:cs="Times New Roman"/>
          <w:bCs/>
          <w:sz w:val="24"/>
          <w:szCs w:val="24"/>
        </w:rPr>
        <w:t xml:space="preserve"> and is still common in contemporary English</w:t>
      </w:r>
      <w:r w:rsidR="00A63092">
        <w:rPr>
          <w:rFonts w:ascii="Garamond" w:hAnsi="Garamond" w:cs="Times New Roman"/>
          <w:bCs/>
          <w:sz w:val="24"/>
          <w:szCs w:val="24"/>
        </w:rPr>
        <w:t xml:space="preserve"> </w:t>
      </w:r>
      <w:r w:rsidR="00A63092">
        <w:rPr>
          <w:rFonts w:ascii="Garamond" w:hAnsi="Garamond" w:cs="Times New Roman"/>
          <w:bCs/>
          <w:sz w:val="24"/>
          <w:szCs w:val="24"/>
        </w:rPr>
        <w:fldChar w:fldCharType="begin"/>
      </w:r>
      <w:r w:rsidR="00406F6C">
        <w:rPr>
          <w:rFonts w:ascii="Garamond" w:hAnsi="Garamond" w:cs="Times New Roman"/>
          <w:bCs/>
          <w:sz w:val="24"/>
          <w:szCs w:val="24"/>
        </w:rPr>
        <w:instrText xml:space="preserve"> ADDIN ZOTERO_ITEM CSL_CITATION {"citationID":"mQ1mzCkb","properties":{"formattedCitation":"(Swift and Miller, 1980, pp. 38\\uc0\\u8211{}40)","plainCitation":"(Swift and Miller, 1980, pp. 38–40)","noteIndex":0},"citationItems":[{"id":3571,"uris":["http://zotero.org/users/1070015/items/XKTGZAQ2"],"uri":["http://zotero.org/users/1070015/items/XKTGZAQ2"],"itemData":{"id":3571,"type":"book","abstract":"Man, he brotherhood, founding fathers. It is argued that such words are and always have been used by educated people to encompass all humanitymen and women. Psychological and historical research in the past few years has produced evidence to the contrary: for most people false generics seldom if ever convey a female image, nor are they ancient unchangeable rules of the English grammar that have always been used by the educated.Using hundreds of examples, mostly from published sources, the authors illustrate what certain words are saying to us on a subliminal level. Solutions are supplied that range from word substitutions to suggestions for rewriting. Without a trace of self-conscious righteousness, and with refreshing humor, Miller and Swift provide surprising insights into the English language and the ways in which people use it and are used by it. They demonstrate that to be in command of the language, we must find clear, convincing, and graceful ways to convey our ideas accurately. We must recognize and replace exclusive, distorting, ambiguous, and injurious words.","event-place":"New York","publisher":"Lippincott and Crowell","publisher-place":"New York","source":"Amazon","title":"The Handbook of Nonsexist Writing","title-short":"The Handbook of Nonsexist Writing","author":[{"family":"Swift","given":"K"},{"family":"Miller","given":"C"}],"issued":{"date-parts":[["1980"]]}},"locator":"38-40","label":"page"}],"schema":"https://github.com/citation-style-language/schema/raw/master/csl-citation.json"} </w:instrText>
      </w:r>
      <w:r w:rsidR="00A63092">
        <w:rPr>
          <w:rFonts w:ascii="Garamond" w:hAnsi="Garamond" w:cs="Times New Roman"/>
          <w:bCs/>
          <w:sz w:val="24"/>
          <w:szCs w:val="24"/>
        </w:rPr>
        <w:fldChar w:fldCharType="separate"/>
      </w:r>
      <w:r w:rsidR="00406F6C" w:rsidRPr="00406F6C">
        <w:rPr>
          <w:rFonts w:ascii="Garamond" w:hAnsi="Garamond" w:cs="Times New Roman"/>
          <w:sz w:val="24"/>
        </w:rPr>
        <w:t>(Swift and Miller, 1980, pp. 38–40)</w:t>
      </w:r>
      <w:r w:rsidR="00A63092">
        <w:rPr>
          <w:rFonts w:ascii="Garamond" w:hAnsi="Garamond" w:cs="Times New Roman"/>
          <w:bCs/>
          <w:sz w:val="24"/>
          <w:szCs w:val="24"/>
        </w:rPr>
        <w:fldChar w:fldCharType="end"/>
      </w:r>
      <w:r w:rsidR="006E4867" w:rsidRPr="00885EFA">
        <w:rPr>
          <w:rFonts w:ascii="Garamond" w:hAnsi="Garamond" w:cs="Times New Roman"/>
          <w:bCs/>
          <w:sz w:val="24"/>
          <w:szCs w:val="24"/>
        </w:rPr>
        <w:t xml:space="preserve">. </w:t>
      </w:r>
      <w:r w:rsidR="005F7C5E" w:rsidRPr="00885EFA">
        <w:rPr>
          <w:rFonts w:ascii="Garamond" w:hAnsi="Garamond" w:cs="Times New Roman"/>
          <w:bCs/>
          <w:sz w:val="24"/>
          <w:szCs w:val="24"/>
        </w:rPr>
        <w:t xml:space="preserve">Whether this popular usage is correct or not is perhaps a matter of dispute. </w:t>
      </w:r>
      <w:r w:rsidR="006C0F03">
        <w:rPr>
          <w:rFonts w:ascii="Garamond" w:hAnsi="Garamond" w:cs="Times New Roman"/>
          <w:bCs/>
          <w:sz w:val="24"/>
          <w:szCs w:val="24"/>
        </w:rPr>
        <w:t xml:space="preserve">The </w:t>
      </w:r>
      <w:r w:rsidR="005F7C5E" w:rsidRPr="00885EFA">
        <w:rPr>
          <w:rFonts w:ascii="Garamond" w:hAnsi="Garamond" w:cs="Times New Roman"/>
          <w:bCs/>
          <w:sz w:val="24"/>
          <w:szCs w:val="24"/>
        </w:rPr>
        <w:t xml:space="preserve">OED (2nd </w:t>
      </w:r>
      <w:proofErr w:type="spellStart"/>
      <w:r w:rsidR="005F7C5E" w:rsidRPr="00885EFA">
        <w:rPr>
          <w:rFonts w:ascii="Garamond" w:hAnsi="Garamond" w:cs="Times New Roman"/>
          <w:bCs/>
          <w:sz w:val="24"/>
          <w:szCs w:val="24"/>
        </w:rPr>
        <w:t>ed</w:t>
      </w:r>
      <w:proofErr w:type="spellEnd"/>
      <w:r w:rsidR="005F7C5E" w:rsidRPr="00885EFA">
        <w:rPr>
          <w:rFonts w:ascii="Garamond" w:hAnsi="Garamond" w:cs="Times New Roman"/>
          <w:bCs/>
          <w:sz w:val="24"/>
          <w:szCs w:val="24"/>
        </w:rPr>
        <w:t xml:space="preserve">, 1989) records the usage without comment. </w:t>
      </w:r>
      <w:r w:rsidR="006C0F03">
        <w:rPr>
          <w:rFonts w:ascii="Garamond" w:hAnsi="Garamond" w:cs="Times New Roman"/>
          <w:bCs/>
          <w:sz w:val="24"/>
          <w:szCs w:val="24"/>
        </w:rPr>
        <w:t xml:space="preserve">The </w:t>
      </w:r>
      <w:r w:rsidR="005F7C5E" w:rsidRPr="00885EFA">
        <w:rPr>
          <w:rFonts w:ascii="Garamond" w:hAnsi="Garamond" w:cs="Times New Roman"/>
          <w:bCs/>
          <w:sz w:val="24"/>
          <w:szCs w:val="24"/>
        </w:rPr>
        <w:t>S</w:t>
      </w:r>
      <w:r w:rsidR="006C0F03">
        <w:rPr>
          <w:rFonts w:ascii="Garamond" w:hAnsi="Garamond" w:cs="Times New Roman"/>
          <w:bCs/>
          <w:sz w:val="24"/>
          <w:szCs w:val="24"/>
        </w:rPr>
        <w:t xml:space="preserve">horter </w:t>
      </w:r>
      <w:r w:rsidR="005F7C5E" w:rsidRPr="00885EFA">
        <w:rPr>
          <w:rFonts w:ascii="Garamond" w:hAnsi="Garamond" w:cs="Times New Roman"/>
          <w:bCs/>
          <w:sz w:val="24"/>
          <w:szCs w:val="24"/>
        </w:rPr>
        <w:t xml:space="preserve">OED (5th </w:t>
      </w:r>
      <w:proofErr w:type="spellStart"/>
      <w:r w:rsidR="005F7C5E" w:rsidRPr="00885EFA">
        <w:rPr>
          <w:rFonts w:ascii="Garamond" w:hAnsi="Garamond" w:cs="Times New Roman"/>
          <w:bCs/>
          <w:sz w:val="24"/>
          <w:szCs w:val="24"/>
        </w:rPr>
        <w:t>ed</w:t>
      </w:r>
      <w:proofErr w:type="spellEnd"/>
      <w:r w:rsidR="005F7C5E" w:rsidRPr="00885EFA">
        <w:rPr>
          <w:rFonts w:ascii="Garamond" w:hAnsi="Garamond" w:cs="Times New Roman"/>
          <w:bCs/>
          <w:sz w:val="24"/>
          <w:szCs w:val="24"/>
        </w:rPr>
        <w:t xml:space="preserve">, 2002) notes </w:t>
      </w:r>
      <w:r w:rsidR="00172B9F" w:rsidRPr="00885EFA">
        <w:rPr>
          <w:rFonts w:ascii="Garamond" w:hAnsi="Garamond" w:cs="Times New Roman"/>
          <w:bCs/>
          <w:sz w:val="24"/>
          <w:szCs w:val="24"/>
        </w:rPr>
        <w:t xml:space="preserve">that it is </w:t>
      </w:r>
      <w:r w:rsidR="005F7C5E" w:rsidRPr="00885EFA">
        <w:rPr>
          <w:rFonts w:ascii="Garamond" w:hAnsi="Garamond" w:cs="Times New Roman"/>
          <w:bCs/>
          <w:sz w:val="24"/>
          <w:szCs w:val="24"/>
        </w:rPr>
        <w:t>“considered erron</w:t>
      </w:r>
      <w:r w:rsidR="00172B9F" w:rsidRPr="00885EFA">
        <w:rPr>
          <w:rFonts w:ascii="Garamond" w:hAnsi="Garamond" w:cs="Times New Roman"/>
          <w:bCs/>
          <w:sz w:val="24"/>
          <w:szCs w:val="24"/>
        </w:rPr>
        <w:t>eous</w:t>
      </w:r>
      <w:r w:rsidR="005F7C5E" w:rsidRPr="00885EFA">
        <w:rPr>
          <w:rFonts w:ascii="Garamond" w:hAnsi="Garamond" w:cs="Times New Roman"/>
          <w:bCs/>
          <w:sz w:val="24"/>
          <w:szCs w:val="24"/>
        </w:rPr>
        <w:t xml:space="preserve"> by some”. It is certainly </w:t>
      </w:r>
      <w:r w:rsidR="00172B9F" w:rsidRPr="00885EFA">
        <w:rPr>
          <w:rFonts w:ascii="Garamond" w:hAnsi="Garamond" w:cs="Times New Roman"/>
          <w:bCs/>
          <w:sz w:val="24"/>
          <w:szCs w:val="24"/>
        </w:rPr>
        <w:t xml:space="preserve">well </w:t>
      </w:r>
      <w:proofErr w:type="spellStart"/>
      <w:r w:rsidR="00172B9F" w:rsidRPr="00885EFA">
        <w:rPr>
          <w:rFonts w:ascii="Garamond" w:hAnsi="Garamond" w:cs="Times New Roman"/>
          <w:bCs/>
          <w:sz w:val="24"/>
          <w:szCs w:val="24"/>
        </w:rPr>
        <w:t>precedented</w:t>
      </w:r>
      <w:proofErr w:type="spellEnd"/>
      <w:r w:rsidR="005F7C5E" w:rsidRPr="00885EFA">
        <w:rPr>
          <w:rFonts w:ascii="Garamond" w:hAnsi="Garamond" w:cs="Times New Roman"/>
          <w:bCs/>
          <w:sz w:val="24"/>
          <w:szCs w:val="24"/>
        </w:rPr>
        <w:t xml:space="preserve"> in respectable literature over several centuries.</w:t>
      </w:r>
      <w:r w:rsidR="003052AE" w:rsidRPr="00885EFA">
        <w:rPr>
          <w:rStyle w:val="FootnoteReference"/>
          <w:rFonts w:ascii="Garamond" w:hAnsi="Garamond"/>
          <w:sz w:val="24"/>
          <w:szCs w:val="24"/>
        </w:rPr>
        <w:footnoteReference w:id="13"/>
      </w:r>
      <w:r w:rsidR="003052AE" w:rsidRPr="00885EFA">
        <w:rPr>
          <w:rFonts w:ascii="Garamond" w:hAnsi="Garamond" w:cs="Times New Roman"/>
          <w:bCs/>
          <w:sz w:val="24"/>
          <w:szCs w:val="24"/>
        </w:rPr>
        <w:t xml:space="preserve"> However, in </w:t>
      </w:r>
      <w:r w:rsidR="005F7C5E" w:rsidRPr="00885EFA">
        <w:rPr>
          <w:rFonts w:ascii="Garamond" w:hAnsi="Garamond" w:cs="Times New Roman"/>
          <w:bCs/>
          <w:sz w:val="24"/>
          <w:szCs w:val="24"/>
        </w:rPr>
        <w:t xml:space="preserve">the debate on gender-neutral drafting in the House of Lords in 2013 a number of peers expressed concern about the use of “they” as a singular pronoun. </w:t>
      </w:r>
      <w:r w:rsidR="003052AE" w:rsidRPr="00885EFA">
        <w:rPr>
          <w:rFonts w:ascii="Garamond" w:hAnsi="Garamond" w:cs="Times New Roman"/>
          <w:bCs/>
          <w:sz w:val="24"/>
          <w:szCs w:val="24"/>
        </w:rPr>
        <w:t xml:space="preserve">This may explain why the technique </w:t>
      </w:r>
      <w:r w:rsidR="006E4867" w:rsidRPr="00885EFA">
        <w:rPr>
          <w:rFonts w:ascii="Garamond" w:hAnsi="Garamond" w:cs="Times New Roman"/>
          <w:bCs/>
          <w:sz w:val="24"/>
          <w:szCs w:val="24"/>
        </w:rPr>
        <w:t xml:space="preserve">lost support in the </w:t>
      </w:r>
      <w:r w:rsidR="003052AE" w:rsidRPr="00885EFA">
        <w:rPr>
          <w:rFonts w:ascii="Garamond" w:hAnsi="Garamond" w:cs="Times New Roman"/>
          <w:bCs/>
          <w:sz w:val="24"/>
          <w:szCs w:val="24"/>
        </w:rPr>
        <w:t xml:space="preserve">newer versions of </w:t>
      </w:r>
      <w:r w:rsidR="006E4867" w:rsidRPr="00885EFA">
        <w:rPr>
          <w:rFonts w:ascii="Garamond" w:hAnsi="Garamond" w:cs="Times New Roman"/>
          <w:bCs/>
          <w:sz w:val="24"/>
          <w:szCs w:val="24"/>
        </w:rPr>
        <w:t xml:space="preserve">the </w:t>
      </w:r>
      <w:r w:rsidR="00C75158">
        <w:rPr>
          <w:rFonts w:ascii="Garamond" w:hAnsi="Garamond" w:cs="Times New Roman"/>
          <w:bCs/>
          <w:sz w:val="24"/>
          <w:szCs w:val="24"/>
        </w:rPr>
        <w:t>OPC’s</w:t>
      </w:r>
      <w:r w:rsidR="006E4867" w:rsidRPr="00885EFA">
        <w:rPr>
          <w:rFonts w:ascii="Garamond" w:hAnsi="Garamond" w:cs="Times New Roman"/>
          <w:bCs/>
          <w:sz w:val="24"/>
          <w:szCs w:val="24"/>
        </w:rPr>
        <w:t xml:space="preserve"> Guidance</w:t>
      </w:r>
      <w:r w:rsidR="003052AE" w:rsidRPr="00885EFA">
        <w:rPr>
          <w:rFonts w:ascii="Garamond" w:hAnsi="Garamond" w:cs="Times New Roman"/>
          <w:bCs/>
          <w:sz w:val="24"/>
          <w:szCs w:val="24"/>
        </w:rPr>
        <w:t xml:space="preserve"> from 2014 onwards</w:t>
      </w:r>
      <w:r w:rsidR="00316B05">
        <w:rPr>
          <w:rFonts w:ascii="Garamond" w:hAnsi="Garamond" w:cs="Times New Roman"/>
          <w:bCs/>
          <w:sz w:val="24"/>
          <w:szCs w:val="24"/>
        </w:rPr>
        <w:t xml:space="preserve"> (see OPC, 2014, pp. 29-30)</w:t>
      </w:r>
      <w:r w:rsidR="003052AE" w:rsidRPr="00885EFA">
        <w:rPr>
          <w:rFonts w:ascii="Garamond" w:hAnsi="Garamond" w:cs="Times New Roman"/>
          <w:bCs/>
          <w:sz w:val="24"/>
          <w:szCs w:val="24"/>
        </w:rPr>
        <w:t xml:space="preserve">. However, the technique </w:t>
      </w:r>
      <w:r w:rsidR="006E4867" w:rsidRPr="00885EFA">
        <w:rPr>
          <w:rFonts w:ascii="Garamond" w:hAnsi="Garamond" w:cs="Times New Roman"/>
          <w:bCs/>
          <w:sz w:val="24"/>
          <w:szCs w:val="24"/>
        </w:rPr>
        <w:t xml:space="preserve">is supported by </w:t>
      </w:r>
      <w:r w:rsidR="001405E0" w:rsidRPr="00885EFA">
        <w:rPr>
          <w:rFonts w:ascii="Garamond" w:hAnsi="Garamond" w:cs="Times New Roman"/>
          <w:bCs/>
          <w:sz w:val="24"/>
          <w:szCs w:val="24"/>
        </w:rPr>
        <w:t>authors,</w:t>
      </w:r>
      <w:r w:rsidR="006E4867" w:rsidRPr="00885EFA">
        <w:rPr>
          <w:rFonts w:ascii="Garamond" w:hAnsi="Garamond" w:cs="Times New Roman"/>
          <w:bCs/>
          <w:sz w:val="24"/>
          <w:szCs w:val="24"/>
        </w:rPr>
        <w:t xml:space="preserve"> as it is the most compatible with spoken English</w:t>
      </w:r>
      <w:r w:rsidR="00014269">
        <w:rPr>
          <w:rFonts w:ascii="Garamond" w:hAnsi="Garamond" w:cs="Times New Roman"/>
          <w:bCs/>
          <w:sz w:val="24"/>
          <w:szCs w:val="24"/>
        </w:rPr>
        <w:t xml:space="preserve"> </w:t>
      </w:r>
      <w:r w:rsidR="00014269">
        <w:rPr>
          <w:rFonts w:ascii="Garamond" w:hAnsi="Garamond" w:cs="Times New Roman"/>
          <w:bCs/>
          <w:sz w:val="24"/>
          <w:szCs w:val="24"/>
        </w:rPr>
        <w:fldChar w:fldCharType="begin"/>
      </w:r>
      <w:r w:rsidR="00014269">
        <w:rPr>
          <w:rFonts w:ascii="Garamond" w:hAnsi="Garamond" w:cs="Times New Roman"/>
          <w:bCs/>
          <w:sz w:val="24"/>
          <w:szCs w:val="24"/>
        </w:rPr>
        <w:instrText xml:space="preserve"> ADDIN ZOTERO_ITEM CSL_CITATION {"citationID":"rLdmzXoU","properties":{"formattedCitation":"(Schweikart, 1990)","plainCitation":"(Schweikart, 1990)","noteIndex":0},"citationItems":[{"id":3574,"uris":["http://zotero.org/users/1070015/items/MSNGVPRF"],"uri":["http://zotero.org/users/1070015/items/MSNGVPRF"],"itemData":{"id":3574,"type":"article-journal","container-title":"Women's Rights Law Reporter","issue":"1","page":"8","title":"Gender Neutral Pronoun Redefined","volume":"20","author":[{"family":"Schweikart","given":"D"}],"issued":{"date-parts":[["1990"]]}}}],"schema":"https://github.com/citation-style-language/schema/raw/master/csl-citation.json"} </w:instrText>
      </w:r>
      <w:r w:rsidR="00014269">
        <w:rPr>
          <w:rFonts w:ascii="Garamond" w:hAnsi="Garamond" w:cs="Times New Roman"/>
          <w:bCs/>
          <w:sz w:val="24"/>
          <w:szCs w:val="24"/>
        </w:rPr>
        <w:fldChar w:fldCharType="separate"/>
      </w:r>
      <w:r w:rsidR="00014269">
        <w:rPr>
          <w:rFonts w:ascii="Garamond" w:hAnsi="Garamond" w:cs="Times New Roman"/>
          <w:bCs/>
          <w:noProof/>
          <w:sz w:val="24"/>
          <w:szCs w:val="24"/>
        </w:rPr>
        <w:t>(Schweikart, 1990)</w:t>
      </w:r>
      <w:r w:rsidR="00014269">
        <w:rPr>
          <w:rFonts w:ascii="Garamond" w:hAnsi="Garamond" w:cs="Times New Roman"/>
          <w:bCs/>
          <w:sz w:val="24"/>
          <w:szCs w:val="24"/>
        </w:rPr>
        <w:fldChar w:fldCharType="end"/>
      </w:r>
      <w:r w:rsidR="006E4867" w:rsidRPr="00885EFA">
        <w:rPr>
          <w:rFonts w:ascii="Garamond" w:hAnsi="Garamond" w:cs="Times New Roman"/>
          <w:bCs/>
          <w:sz w:val="24"/>
          <w:szCs w:val="24"/>
        </w:rPr>
        <w:t>. An example of it can be found in the Counter-Terrorism Act 2008</w:t>
      </w:r>
      <w:r w:rsidR="00B75453">
        <w:rPr>
          <w:rFonts w:ascii="Garamond" w:hAnsi="Garamond" w:cs="Times New Roman"/>
          <w:bCs/>
          <w:sz w:val="24"/>
          <w:szCs w:val="24"/>
        </w:rPr>
        <w:t xml:space="preserve">, </w:t>
      </w:r>
      <w:r w:rsidR="00F95624">
        <w:rPr>
          <w:rFonts w:ascii="Garamond" w:hAnsi="Garamond" w:cs="Times New Roman"/>
          <w:bCs/>
          <w:sz w:val="24"/>
          <w:szCs w:val="24"/>
        </w:rPr>
        <w:t>section 61(1)</w:t>
      </w:r>
      <w:r w:rsidR="006E4867" w:rsidRPr="00885EFA">
        <w:rPr>
          <w:rFonts w:ascii="Garamond" w:hAnsi="Garamond" w:cs="Times New Roman"/>
          <w:bCs/>
          <w:sz w:val="24"/>
          <w:szCs w:val="24"/>
        </w:rPr>
        <w:t xml:space="preserve">: </w:t>
      </w:r>
      <w:r w:rsidR="00CA20C3" w:rsidRPr="00885EFA">
        <w:rPr>
          <w:rFonts w:ascii="Garamond" w:hAnsi="Garamond" w:cs="Times New Roman"/>
          <w:bCs/>
          <w:sz w:val="24"/>
          <w:szCs w:val="24"/>
        </w:rPr>
        <w:t>“</w:t>
      </w:r>
      <w:r w:rsidR="006E4867" w:rsidRPr="00885EFA">
        <w:rPr>
          <w:rFonts w:ascii="Garamond" w:hAnsi="Garamond" w:cs="Times New Roman"/>
          <w:bCs/>
          <w:iCs/>
          <w:sz w:val="24"/>
          <w:szCs w:val="24"/>
        </w:rPr>
        <w:t>References in this Part to a person being dealt with for or in respect of an offence are to their being sentenc</w:t>
      </w:r>
      <w:r w:rsidR="00CA20C3" w:rsidRPr="00885EFA">
        <w:rPr>
          <w:rFonts w:ascii="Garamond" w:hAnsi="Garamond" w:cs="Times New Roman"/>
          <w:bCs/>
          <w:iCs/>
          <w:sz w:val="24"/>
          <w:szCs w:val="24"/>
        </w:rPr>
        <w:t>ed</w:t>
      </w:r>
      <w:r w:rsidR="00B75453">
        <w:rPr>
          <w:rFonts w:ascii="Garamond" w:hAnsi="Garamond" w:cs="Times New Roman"/>
          <w:bCs/>
          <w:iCs/>
          <w:sz w:val="24"/>
          <w:szCs w:val="24"/>
        </w:rPr>
        <w:t xml:space="preserve"> </w:t>
      </w:r>
      <w:r w:rsidR="00CA20C3" w:rsidRPr="00885EFA">
        <w:rPr>
          <w:rFonts w:ascii="Garamond" w:hAnsi="Garamond" w:cs="Times New Roman"/>
          <w:bCs/>
          <w:iCs/>
          <w:sz w:val="24"/>
          <w:szCs w:val="24"/>
        </w:rPr>
        <w:t>...</w:t>
      </w:r>
      <w:r w:rsidR="00B75453">
        <w:rPr>
          <w:rFonts w:ascii="Garamond" w:hAnsi="Garamond" w:cs="Times New Roman"/>
          <w:bCs/>
          <w:iCs/>
          <w:sz w:val="24"/>
          <w:szCs w:val="24"/>
        </w:rPr>
        <w:t xml:space="preserve"> </w:t>
      </w:r>
      <w:r w:rsidR="00CA20C3" w:rsidRPr="00885EFA">
        <w:rPr>
          <w:rFonts w:ascii="Garamond" w:hAnsi="Garamond" w:cs="Times New Roman"/>
          <w:bCs/>
          <w:iCs/>
          <w:sz w:val="24"/>
          <w:szCs w:val="24"/>
        </w:rPr>
        <w:t>in respect of the offence.”</w:t>
      </w:r>
      <w:r w:rsidR="006E4867" w:rsidRPr="00885EFA">
        <w:rPr>
          <w:rFonts w:ascii="Garamond" w:hAnsi="Garamond" w:cs="Times New Roman"/>
          <w:bCs/>
          <w:iCs/>
          <w:sz w:val="24"/>
          <w:szCs w:val="24"/>
        </w:rPr>
        <w:t xml:space="preserve"> And a further example comes from the Local Democracy, Economic Development and Construction </w:t>
      </w:r>
      <w:r w:rsidR="00B44AE4" w:rsidRPr="00885EFA">
        <w:rPr>
          <w:rFonts w:ascii="Garamond" w:hAnsi="Garamond" w:cs="Times New Roman"/>
          <w:bCs/>
          <w:iCs/>
          <w:sz w:val="24"/>
          <w:szCs w:val="24"/>
        </w:rPr>
        <w:t>Act 2009</w:t>
      </w:r>
      <w:r w:rsidR="006E4867" w:rsidRPr="00885EFA">
        <w:rPr>
          <w:rFonts w:ascii="Garamond" w:hAnsi="Garamond" w:cs="Times New Roman"/>
          <w:bCs/>
          <w:iCs/>
          <w:sz w:val="24"/>
          <w:szCs w:val="24"/>
        </w:rPr>
        <w:t xml:space="preserve">, Schedule 1, paragraph </w:t>
      </w:r>
      <w:r w:rsidR="00B44AE4" w:rsidRPr="00885EFA">
        <w:rPr>
          <w:rFonts w:ascii="Garamond" w:hAnsi="Garamond" w:cs="Times New Roman"/>
          <w:bCs/>
          <w:iCs/>
          <w:sz w:val="24"/>
          <w:szCs w:val="24"/>
        </w:rPr>
        <w:t>2(5)(b</w:t>
      </w:r>
      <w:r w:rsidR="006E4867" w:rsidRPr="00885EFA">
        <w:rPr>
          <w:rFonts w:ascii="Garamond" w:hAnsi="Garamond" w:cs="Times New Roman"/>
          <w:bCs/>
          <w:iCs/>
          <w:sz w:val="24"/>
          <w:szCs w:val="24"/>
        </w:rPr>
        <w:t xml:space="preserve">): </w:t>
      </w:r>
      <w:r w:rsidR="00CA20C3" w:rsidRPr="00885EFA">
        <w:rPr>
          <w:rFonts w:ascii="Garamond" w:hAnsi="Garamond" w:cs="Times New Roman"/>
          <w:bCs/>
          <w:iCs/>
          <w:sz w:val="24"/>
          <w:szCs w:val="24"/>
        </w:rPr>
        <w:t>“</w:t>
      </w:r>
      <w:r w:rsidR="00B44AE4" w:rsidRPr="00885EFA">
        <w:rPr>
          <w:rFonts w:ascii="Garamond" w:hAnsi="Garamond" w:cs="Times New Roman"/>
          <w:bCs/>
          <w:iCs/>
          <w:sz w:val="24"/>
          <w:szCs w:val="24"/>
        </w:rPr>
        <w:t>…</w:t>
      </w:r>
      <w:r w:rsidR="00F95624">
        <w:rPr>
          <w:rFonts w:ascii="Garamond" w:hAnsi="Garamond" w:cs="Times New Roman"/>
          <w:bCs/>
          <w:iCs/>
          <w:sz w:val="24"/>
          <w:szCs w:val="24"/>
        </w:rPr>
        <w:t xml:space="preserve"> </w:t>
      </w:r>
      <w:r w:rsidR="00B44AE4" w:rsidRPr="00885EFA">
        <w:rPr>
          <w:rFonts w:ascii="Garamond" w:hAnsi="Garamond" w:cs="Times New Roman"/>
          <w:bCs/>
          <w:iCs/>
          <w:sz w:val="24"/>
          <w:szCs w:val="24"/>
        </w:rPr>
        <w:t>t</w:t>
      </w:r>
      <w:r w:rsidR="006E4867" w:rsidRPr="00885EFA">
        <w:rPr>
          <w:rFonts w:ascii="Garamond" w:hAnsi="Garamond" w:cs="Times New Roman"/>
          <w:bCs/>
          <w:iCs/>
          <w:sz w:val="24"/>
          <w:szCs w:val="24"/>
        </w:rPr>
        <w:t>he chair holds office</w:t>
      </w:r>
      <w:r w:rsidR="00F95624">
        <w:rPr>
          <w:rFonts w:ascii="Garamond" w:hAnsi="Garamond" w:cs="Times New Roman"/>
          <w:bCs/>
          <w:iCs/>
          <w:sz w:val="24"/>
          <w:szCs w:val="24"/>
        </w:rPr>
        <w:t xml:space="preserve"> </w:t>
      </w:r>
      <w:r w:rsidR="006E4867" w:rsidRPr="00885EFA">
        <w:rPr>
          <w:rFonts w:ascii="Garamond" w:hAnsi="Garamond" w:cs="Times New Roman"/>
          <w:bCs/>
          <w:iCs/>
          <w:sz w:val="24"/>
          <w:szCs w:val="24"/>
        </w:rPr>
        <w:t>...</w:t>
      </w:r>
      <w:r w:rsidR="00B44AE4" w:rsidRPr="00885EFA">
        <w:rPr>
          <w:rFonts w:ascii="Garamond" w:hAnsi="Garamond" w:cs="Times New Roman"/>
          <w:bCs/>
          <w:iCs/>
          <w:sz w:val="24"/>
          <w:szCs w:val="24"/>
        </w:rPr>
        <w:t xml:space="preserve"> </w:t>
      </w:r>
      <w:r w:rsidR="006E4867" w:rsidRPr="00885EFA">
        <w:rPr>
          <w:rFonts w:ascii="Garamond" w:hAnsi="Garamond" w:cs="Times New Roman"/>
          <w:bCs/>
          <w:iCs/>
          <w:sz w:val="24"/>
          <w:szCs w:val="24"/>
        </w:rPr>
        <w:t>in accordance with the terms of their appointment.</w:t>
      </w:r>
      <w:r w:rsidR="00CA20C3" w:rsidRPr="00885EFA">
        <w:rPr>
          <w:rFonts w:ascii="Garamond" w:hAnsi="Garamond" w:cs="Times New Roman"/>
          <w:bCs/>
          <w:iCs/>
          <w:sz w:val="24"/>
          <w:szCs w:val="24"/>
        </w:rPr>
        <w:t>”</w:t>
      </w:r>
      <w:r w:rsidR="006E4867" w:rsidRPr="00885EFA">
        <w:rPr>
          <w:rFonts w:ascii="Garamond" w:hAnsi="Garamond" w:cs="Times New Roman"/>
          <w:bCs/>
          <w:iCs/>
          <w:sz w:val="24"/>
          <w:szCs w:val="24"/>
        </w:rPr>
        <w:t xml:space="preserve"> The technique is rather innovative, since it uses a grammatical error to draw the reader’s attention to gender </w:t>
      </w:r>
      <w:r w:rsidR="00CA20C3" w:rsidRPr="00885EFA">
        <w:rPr>
          <w:rFonts w:ascii="Garamond" w:hAnsi="Garamond" w:cs="Times New Roman"/>
          <w:bCs/>
          <w:iCs/>
          <w:sz w:val="24"/>
          <w:szCs w:val="24"/>
        </w:rPr>
        <w:t>inclusivity</w:t>
      </w:r>
      <w:r w:rsidR="006E4867" w:rsidRPr="00885EFA">
        <w:rPr>
          <w:rFonts w:ascii="Garamond" w:hAnsi="Garamond" w:cs="Times New Roman"/>
          <w:bCs/>
          <w:iCs/>
          <w:sz w:val="24"/>
          <w:szCs w:val="24"/>
        </w:rPr>
        <w:t>. But at the same time it demonstrates quite rightly that drafters must use grammar without being its slave. It is better to be inelegant than uncertain</w:t>
      </w:r>
      <w:r w:rsidR="00940AC5">
        <w:rPr>
          <w:rFonts w:ascii="Garamond" w:hAnsi="Garamond" w:cs="Times New Roman"/>
          <w:bCs/>
          <w:iCs/>
          <w:sz w:val="24"/>
          <w:szCs w:val="24"/>
        </w:rPr>
        <w:t xml:space="preserve"> </w:t>
      </w:r>
      <w:r w:rsidR="00940AC5">
        <w:rPr>
          <w:rFonts w:ascii="Garamond" w:hAnsi="Garamond" w:cs="Times New Roman"/>
          <w:bCs/>
          <w:iCs/>
          <w:sz w:val="24"/>
          <w:szCs w:val="24"/>
        </w:rPr>
        <w:fldChar w:fldCharType="begin"/>
      </w:r>
      <w:r w:rsidR="00940AC5">
        <w:rPr>
          <w:rFonts w:ascii="Garamond" w:hAnsi="Garamond" w:cs="Times New Roman"/>
          <w:bCs/>
          <w:iCs/>
          <w:sz w:val="24"/>
          <w:szCs w:val="24"/>
        </w:rPr>
        <w:instrText xml:space="preserve"> ADDIN ZOTERO_ITEM CSL_CITATION {"citationID":"exeBBb3W","properties":{"formattedCitation":"(Aitken and Piesse, 1995, p. 57)","plainCitation":"(Aitken and Piesse, 1995, p. 57)","noteIndex":0},"citationItems":[{"id":3575,"uris":["http://zotero.org/users/1070015/items/VMIZTHTF"],"uri":["http://zotero.org/users/1070015/items/VMIZTHTF"],"itemData":{"id":3575,"type":"book","event-place":"Sydney","publisher":"The Law Book Company Limited","publisher-place":"Sydney","title":"The Elements of Drafting","author":[{"family":"Aitken","given":"J"},{"family":"Piesse","given":"E"}],"issued":{"date-parts":[["1995"]]}},"locator":"57","label":"page"}],"schema":"https://github.com/citation-style-language/schema/raw/master/csl-citation.json"} </w:instrText>
      </w:r>
      <w:r w:rsidR="00940AC5">
        <w:rPr>
          <w:rFonts w:ascii="Garamond" w:hAnsi="Garamond" w:cs="Times New Roman"/>
          <w:bCs/>
          <w:iCs/>
          <w:sz w:val="24"/>
          <w:szCs w:val="24"/>
        </w:rPr>
        <w:fldChar w:fldCharType="separate"/>
      </w:r>
      <w:r w:rsidR="00940AC5">
        <w:rPr>
          <w:rFonts w:ascii="Garamond" w:hAnsi="Garamond" w:cs="Times New Roman"/>
          <w:bCs/>
          <w:iCs/>
          <w:noProof/>
          <w:sz w:val="24"/>
          <w:szCs w:val="24"/>
        </w:rPr>
        <w:t>(Aitken and Piesse, 1995, p. 57)</w:t>
      </w:r>
      <w:r w:rsidR="00940AC5">
        <w:rPr>
          <w:rFonts w:ascii="Garamond" w:hAnsi="Garamond" w:cs="Times New Roman"/>
          <w:bCs/>
          <w:iCs/>
          <w:sz w:val="24"/>
          <w:szCs w:val="24"/>
        </w:rPr>
        <w:fldChar w:fldCharType="end"/>
      </w:r>
      <w:r w:rsidR="006E4867" w:rsidRPr="00885EFA">
        <w:rPr>
          <w:rFonts w:ascii="Garamond" w:hAnsi="Garamond" w:cs="Times New Roman"/>
          <w:bCs/>
          <w:iCs/>
          <w:sz w:val="24"/>
          <w:szCs w:val="24"/>
        </w:rPr>
        <w:t>.</w:t>
      </w:r>
    </w:p>
    <w:p w14:paraId="4109AD20" w14:textId="1035BDC9" w:rsidR="00B77CBA" w:rsidRPr="005D18E8" w:rsidRDefault="001D1D10" w:rsidP="00A844FC">
      <w:pPr>
        <w:pStyle w:val="Heading2"/>
        <w:jc w:val="left"/>
      </w:pPr>
      <w:r w:rsidRPr="005D18E8">
        <w:t xml:space="preserve">Conclusions  </w:t>
      </w:r>
    </w:p>
    <w:p w14:paraId="2B437613" w14:textId="3E3C6C6E" w:rsidR="00AE3058" w:rsidRPr="00885EFA" w:rsidRDefault="009D4744" w:rsidP="00A844FC">
      <w:pPr>
        <w:spacing w:line="480" w:lineRule="auto"/>
        <w:rPr>
          <w:rStyle w:val="apple-style-span"/>
          <w:rFonts w:ascii="Garamond" w:hAnsi="Garamond" w:cs="Times New Roman"/>
          <w:color w:val="000000"/>
          <w:sz w:val="24"/>
          <w:szCs w:val="24"/>
        </w:rPr>
      </w:pPr>
      <w:r w:rsidRPr="00885EFA">
        <w:rPr>
          <w:rStyle w:val="apple-style-span"/>
          <w:rFonts w:ascii="Garamond" w:hAnsi="Garamond" w:cs="Times New Roman"/>
          <w:color w:val="000000"/>
          <w:sz w:val="24"/>
          <w:szCs w:val="24"/>
        </w:rPr>
        <w:t xml:space="preserve">Gender inclusivity is a concept much wider than gender neutrality. Neutrality promotes equality between men and women and can therefore be viewed as an expression of feminism in legislative drafting. In contrast to that, gender inclusivity promotes the elimination of gender from the </w:t>
      </w:r>
      <w:r w:rsidRPr="00885EFA">
        <w:rPr>
          <w:rStyle w:val="apple-style-span"/>
          <w:rFonts w:ascii="Garamond" w:hAnsi="Garamond" w:cs="Times New Roman"/>
          <w:color w:val="000000"/>
          <w:sz w:val="24"/>
          <w:szCs w:val="24"/>
        </w:rPr>
        <w:lastRenderedPageBreak/>
        <w:t>attributes of the subjects of legislation. It goes beyond gender equality and reflects the continuous evolution of the LGBTQI+ movement. From the point of view of substantive law, gender inclusive legislation expresses to a fuller extent the constitutional principle of equality in the eyes of the law: everyone, not just men and women, is equal before the eyes of the law.</w:t>
      </w:r>
      <w:r w:rsidR="00AE3058" w:rsidRPr="00885EFA">
        <w:rPr>
          <w:rStyle w:val="apple-style-span"/>
          <w:rFonts w:ascii="Garamond" w:hAnsi="Garamond" w:cs="Times New Roman"/>
          <w:color w:val="000000"/>
          <w:sz w:val="24"/>
          <w:szCs w:val="24"/>
        </w:rPr>
        <w:t xml:space="preserve"> </w:t>
      </w:r>
      <w:r w:rsidRPr="00885EFA">
        <w:rPr>
          <w:rStyle w:val="apple-style-span"/>
          <w:rFonts w:ascii="Garamond" w:hAnsi="Garamond" w:cs="Times New Roman"/>
          <w:color w:val="000000"/>
          <w:sz w:val="24"/>
          <w:szCs w:val="24"/>
        </w:rPr>
        <w:t>From the point of view of legislative drafting, gender inclusivity put</w:t>
      </w:r>
      <w:r w:rsidR="00AE3058" w:rsidRPr="00885EFA">
        <w:rPr>
          <w:rStyle w:val="apple-style-span"/>
          <w:rFonts w:ascii="Garamond" w:hAnsi="Garamond" w:cs="Times New Roman"/>
          <w:color w:val="000000"/>
          <w:sz w:val="24"/>
          <w:szCs w:val="24"/>
        </w:rPr>
        <w:t>s</w:t>
      </w:r>
      <w:r w:rsidRPr="00885EFA">
        <w:rPr>
          <w:rStyle w:val="apple-style-span"/>
          <w:rFonts w:ascii="Garamond" w:hAnsi="Garamond" w:cs="Times New Roman"/>
          <w:color w:val="000000"/>
          <w:sz w:val="24"/>
          <w:szCs w:val="24"/>
        </w:rPr>
        <w:t xml:space="preserve"> to effect to a fuller extent the requirement of clarity.</w:t>
      </w:r>
      <w:r w:rsidR="008533E2" w:rsidRPr="00885EFA">
        <w:rPr>
          <w:rStyle w:val="apple-style-span"/>
          <w:rFonts w:ascii="Garamond" w:hAnsi="Garamond" w:cs="Times New Roman"/>
          <w:color w:val="000000"/>
          <w:sz w:val="24"/>
          <w:szCs w:val="24"/>
        </w:rPr>
        <w:t xml:space="preserve"> In legislation where all citizens are subjects of the regulation, gender inclusivity conveys expressly a</w:t>
      </w:r>
      <w:r w:rsidR="00AE3058" w:rsidRPr="00885EFA">
        <w:rPr>
          <w:rStyle w:val="apple-style-span"/>
          <w:rFonts w:ascii="Garamond" w:hAnsi="Garamond" w:cs="Times New Roman"/>
          <w:color w:val="000000"/>
          <w:sz w:val="24"/>
          <w:szCs w:val="24"/>
        </w:rPr>
        <w:t>n</w:t>
      </w:r>
      <w:r w:rsidR="008533E2" w:rsidRPr="00885EFA">
        <w:rPr>
          <w:rStyle w:val="apple-style-span"/>
          <w:rFonts w:ascii="Garamond" w:hAnsi="Garamond" w:cs="Times New Roman"/>
          <w:color w:val="000000"/>
          <w:sz w:val="24"/>
          <w:szCs w:val="24"/>
        </w:rPr>
        <w:t>d clearly the subjection of all citizens of any or no gender to the regulatory and legislative messages of legislation.</w:t>
      </w:r>
      <w:r w:rsidR="00225BF6" w:rsidRPr="00885EFA">
        <w:rPr>
          <w:rStyle w:val="apple-style-span"/>
          <w:rFonts w:ascii="Garamond" w:hAnsi="Garamond" w:cs="Times New Roman"/>
          <w:color w:val="000000"/>
          <w:sz w:val="24"/>
          <w:szCs w:val="24"/>
        </w:rPr>
        <w:t xml:space="preserve"> Moreover, </w:t>
      </w:r>
      <w:r w:rsidR="00AE3058" w:rsidRPr="00885EFA">
        <w:rPr>
          <w:rStyle w:val="apple-style-span"/>
          <w:rFonts w:ascii="Garamond" w:hAnsi="Garamond" w:cs="Times New Roman"/>
          <w:color w:val="000000"/>
          <w:sz w:val="24"/>
          <w:szCs w:val="24"/>
        </w:rPr>
        <w:t xml:space="preserve">by contrast, </w:t>
      </w:r>
      <w:r w:rsidR="00225BF6" w:rsidRPr="00885EFA">
        <w:rPr>
          <w:rStyle w:val="apple-style-span"/>
          <w:rFonts w:ascii="Garamond" w:hAnsi="Garamond" w:cs="Times New Roman"/>
          <w:color w:val="000000"/>
          <w:sz w:val="24"/>
          <w:szCs w:val="24"/>
        </w:rPr>
        <w:t>gender inclusivity draws attention to gender specificity, where needed, as it contrasts loudly with the introduction of legislative texts addressed exclusively to specific genders.</w:t>
      </w:r>
    </w:p>
    <w:p w14:paraId="56157B63" w14:textId="04107E74" w:rsidR="00AE3058" w:rsidRPr="00885EFA" w:rsidRDefault="0010704A" w:rsidP="00A844FC">
      <w:pPr>
        <w:spacing w:line="480" w:lineRule="auto"/>
        <w:ind w:firstLine="720"/>
        <w:rPr>
          <w:rFonts w:ascii="Garamond" w:hAnsi="Garamond" w:cs="Times New Roman"/>
          <w:bCs/>
          <w:iCs/>
          <w:sz w:val="24"/>
          <w:szCs w:val="24"/>
        </w:rPr>
      </w:pPr>
      <w:r w:rsidRPr="00885EFA">
        <w:rPr>
          <w:rFonts w:ascii="Garamond" w:hAnsi="Garamond" w:cs="Times New Roman"/>
          <w:bCs/>
          <w:iCs/>
          <w:sz w:val="24"/>
          <w:szCs w:val="24"/>
        </w:rPr>
        <w:t xml:space="preserve">In that respect, gender inclusivity enhances clarity in legislative expression, as it expresses with clarity, precision, and unambiguity if and where gender is relevant in legislation. As a tool to clarity (which encompasses precision and unambiguity as </w:t>
      </w:r>
      <w:r w:rsidRPr="00885EFA">
        <w:rPr>
          <w:rFonts w:ascii="Garamond" w:hAnsi="Garamond" w:cs="Times New Roman"/>
          <w:bCs/>
          <w:i/>
          <w:iCs/>
          <w:sz w:val="24"/>
          <w:szCs w:val="24"/>
        </w:rPr>
        <w:t>sine qua non</w:t>
      </w:r>
      <w:r w:rsidRPr="00885EFA">
        <w:rPr>
          <w:rFonts w:ascii="Garamond" w:hAnsi="Garamond" w:cs="Times New Roman"/>
          <w:bCs/>
          <w:iCs/>
          <w:sz w:val="24"/>
          <w:szCs w:val="24"/>
        </w:rPr>
        <w:t>), gender inclusivity enhances legislative effectiveness</w:t>
      </w:r>
      <w:r w:rsidR="002D798C">
        <w:rPr>
          <w:rFonts w:ascii="Garamond" w:hAnsi="Garamond" w:cs="Times New Roman"/>
          <w:bCs/>
          <w:iCs/>
          <w:sz w:val="24"/>
          <w:szCs w:val="24"/>
        </w:rPr>
        <w:t xml:space="preserve"> </w:t>
      </w:r>
      <w:r w:rsidR="002D798C">
        <w:rPr>
          <w:rFonts w:ascii="Garamond" w:hAnsi="Garamond" w:cs="Times New Roman"/>
          <w:bCs/>
          <w:iCs/>
          <w:sz w:val="24"/>
          <w:szCs w:val="24"/>
        </w:rPr>
        <w:fldChar w:fldCharType="begin"/>
      </w:r>
      <w:r w:rsidR="000E78DF">
        <w:rPr>
          <w:rFonts w:ascii="Garamond" w:hAnsi="Garamond" w:cs="Times New Roman"/>
          <w:bCs/>
          <w:iCs/>
          <w:sz w:val="24"/>
          <w:szCs w:val="24"/>
        </w:rPr>
        <w:instrText xml:space="preserve"> ADDIN ZOTERO_ITEM CSL_CITATION {"citationID":"JWB246yR","properties":{"formattedCitation":"(Wilson, 2011; Xanthaki, 2008)","plainCitation":"(Wilson, 2011; Xanthaki, 2008)","noteIndex":0},"citationItems":[{"id":747,"uris":["http://zotero.org/users/1070015/items/JNBYNXQP"],"uri":["http://zotero.org/users/1070015/items/JNBYNXQP"],"itemData":{"id":747,"type":"article-journal","container-title":"European Journal of Law Reform","journalAbbreviation":"Eur. J.L. Reform","page":"199","title":"Sir William Dale Annual Memorial Lecture: Gender-Neutral Law Drafting: The Challenge of Translating Policy into Legislation","title-short":"Sir William Dale Annual Memorial Lecture","volume":"13","author":[{"family":"Wilson","given":"Margaret"}],"issued":{"date-parts":[["2011"]]}}},{"id":3531,"uris":["http://zotero.org/users/1070015/items/8L6NHSQB"],"uri":["http://zotero.org/users/1070015/items/8L6NHSQB"],"itemData":{"id":3531,"type":"chapter","container-title":"Drafting Legislation: A Modern Approach - in Memoriam of Sir William Dale","page":"1-18","publisher":"Ashgate","title":"On transferability of legislative solutions: the functionality test","author":[{"family":"Xanthaki","given":"Helen"}],"issued":{"date-parts":[["2008"]]}}}],"schema":"https://github.com/citation-style-language/schema/raw/master/csl-citation.json"} </w:instrText>
      </w:r>
      <w:r w:rsidR="002D798C">
        <w:rPr>
          <w:rFonts w:ascii="Garamond" w:hAnsi="Garamond" w:cs="Times New Roman"/>
          <w:bCs/>
          <w:iCs/>
          <w:sz w:val="24"/>
          <w:szCs w:val="24"/>
        </w:rPr>
        <w:fldChar w:fldCharType="separate"/>
      </w:r>
      <w:r w:rsidR="000E78DF">
        <w:rPr>
          <w:rFonts w:ascii="Garamond" w:hAnsi="Garamond" w:cs="Times New Roman"/>
          <w:bCs/>
          <w:iCs/>
          <w:noProof/>
          <w:sz w:val="24"/>
          <w:szCs w:val="24"/>
        </w:rPr>
        <w:t>(Wilson, 2011; Xanthaki, 2008)</w:t>
      </w:r>
      <w:r w:rsidR="002D798C">
        <w:rPr>
          <w:rFonts w:ascii="Garamond" w:hAnsi="Garamond" w:cs="Times New Roman"/>
          <w:bCs/>
          <w:iCs/>
          <w:sz w:val="24"/>
          <w:szCs w:val="24"/>
        </w:rPr>
        <w:fldChar w:fldCharType="end"/>
      </w:r>
      <w:r w:rsidR="006D003D" w:rsidRPr="00885EFA">
        <w:rPr>
          <w:rFonts w:ascii="Garamond" w:hAnsi="Garamond" w:cs="Times New Roman"/>
          <w:bCs/>
          <w:iCs/>
          <w:sz w:val="24"/>
          <w:szCs w:val="24"/>
        </w:rPr>
        <w:t xml:space="preserve">. </w:t>
      </w:r>
      <w:r w:rsidRPr="00885EFA">
        <w:rPr>
          <w:rFonts w:ascii="Garamond" w:hAnsi="Garamond" w:cs="Times New Roman"/>
          <w:bCs/>
          <w:iCs/>
          <w:sz w:val="24"/>
          <w:szCs w:val="24"/>
        </w:rPr>
        <w:t xml:space="preserve">It ensures that users understand fully whether the legislation addresses and covers them or not, thus rendering compliance an issue of subjective intention, not intelligibility of legislative communication. </w:t>
      </w:r>
      <w:r w:rsidR="00AD6D8E" w:rsidRPr="00885EFA">
        <w:rPr>
          <w:rFonts w:ascii="Garamond" w:hAnsi="Garamond" w:cs="Times New Roman"/>
          <w:bCs/>
          <w:iCs/>
          <w:sz w:val="24"/>
          <w:szCs w:val="24"/>
        </w:rPr>
        <w:t xml:space="preserve">In turn, legislative effectiveness serves regulatory efficacy, in that it serves as a tool for the achievement of policy/regulatory results. </w:t>
      </w:r>
    </w:p>
    <w:p w14:paraId="112B5F8E" w14:textId="6103C8F0" w:rsidR="00553AE3" w:rsidRPr="00885EFA" w:rsidRDefault="00AE3058" w:rsidP="00A844FC">
      <w:pPr>
        <w:spacing w:line="480" w:lineRule="auto"/>
        <w:ind w:firstLine="720"/>
        <w:rPr>
          <w:rFonts w:ascii="Garamond" w:hAnsi="Garamond" w:cs="Times New Roman"/>
          <w:bCs/>
          <w:iCs/>
          <w:sz w:val="24"/>
          <w:szCs w:val="24"/>
        </w:rPr>
      </w:pPr>
      <w:r w:rsidRPr="00885EFA">
        <w:rPr>
          <w:rFonts w:ascii="Garamond" w:hAnsi="Garamond" w:cs="Times New Roman"/>
          <w:bCs/>
          <w:iCs/>
          <w:sz w:val="24"/>
          <w:szCs w:val="24"/>
        </w:rPr>
        <w:t xml:space="preserve">But </w:t>
      </w:r>
      <w:r w:rsidR="003122E9" w:rsidRPr="00885EFA">
        <w:rPr>
          <w:rFonts w:ascii="Garamond" w:hAnsi="Garamond" w:cs="Times New Roman"/>
          <w:bCs/>
          <w:iCs/>
          <w:sz w:val="24"/>
          <w:szCs w:val="24"/>
        </w:rPr>
        <w:t xml:space="preserve">GI is not the only regulatory goal pursued by all legislation. </w:t>
      </w:r>
      <w:r w:rsidR="00553AE3" w:rsidRPr="00885EFA">
        <w:rPr>
          <w:rFonts w:ascii="Garamond" w:hAnsi="Garamond" w:cs="Times New Roman"/>
          <w:bCs/>
          <w:iCs/>
          <w:sz w:val="24"/>
          <w:szCs w:val="24"/>
        </w:rPr>
        <w:t xml:space="preserve">There is certainly still scope for GN policies, whose </w:t>
      </w:r>
      <w:r w:rsidR="006D003D" w:rsidRPr="00885EFA">
        <w:rPr>
          <w:rFonts w:ascii="Garamond" w:hAnsi="Garamond" w:cs="Times New Roman"/>
          <w:bCs/>
          <w:iCs/>
          <w:sz w:val="24"/>
          <w:szCs w:val="24"/>
        </w:rPr>
        <w:t>regulatory aim is to redress the balance of gender inequality in society</w:t>
      </w:r>
      <w:r w:rsidR="00316B05">
        <w:rPr>
          <w:rFonts w:ascii="Garamond" w:hAnsi="Garamond" w:cs="Times New Roman"/>
          <w:bCs/>
          <w:iCs/>
          <w:sz w:val="24"/>
          <w:szCs w:val="24"/>
        </w:rPr>
        <w:t xml:space="preserve"> (see UNDP, 2003, p. 21)</w:t>
      </w:r>
      <w:r w:rsidR="000E78DF">
        <w:rPr>
          <w:rFonts w:ascii="Garamond" w:hAnsi="Garamond" w:cs="Times New Roman"/>
          <w:bCs/>
          <w:iCs/>
          <w:sz w:val="24"/>
          <w:szCs w:val="24"/>
        </w:rPr>
        <w:t>.</w:t>
      </w:r>
      <w:r w:rsidR="00AD6D8E" w:rsidRPr="00885EFA">
        <w:rPr>
          <w:rFonts w:ascii="Garamond" w:hAnsi="Garamond" w:cs="Times New Roman"/>
          <w:bCs/>
          <w:iCs/>
          <w:sz w:val="24"/>
          <w:szCs w:val="24"/>
        </w:rPr>
        <w:t xml:space="preserve"> Thus, </w:t>
      </w:r>
      <w:r w:rsidR="006D003D" w:rsidRPr="00885EFA">
        <w:rPr>
          <w:rFonts w:ascii="Garamond" w:hAnsi="Garamond" w:cs="Times New Roman"/>
          <w:bCs/>
          <w:iCs/>
          <w:sz w:val="24"/>
          <w:szCs w:val="24"/>
        </w:rPr>
        <w:t xml:space="preserve">the choice of the most effective </w:t>
      </w:r>
      <w:r w:rsidR="00015720" w:rsidRPr="00885EFA">
        <w:rPr>
          <w:rFonts w:ascii="Garamond" w:hAnsi="Garamond" w:cs="Times New Roman"/>
          <w:bCs/>
          <w:iCs/>
          <w:sz w:val="24"/>
          <w:szCs w:val="24"/>
        </w:rPr>
        <w:t>GNL</w:t>
      </w:r>
      <w:r w:rsidR="006D003D" w:rsidRPr="00885EFA">
        <w:rPr>
          <w:rFonts w:ascii="Garamond" w:hAnsi="Garamond" w:cs="Times New Roman"/>
          <w:bCs/>
          <w:iCs/>
          <w:sz w:val="24"/>
          <w:szCs w:val="24"/>
        </w:rPr>
        <w:t xml:space="preserve"> tool is to be made on the basis of two criteria: one, clear inclusion of the female; and two, education of the </w:t>
      </w:r>
      <w:r w:rsidR="00AD6D8E" w:rsidRPr="00885EFA">
        <w:rPr>
          <w:rFonts w:ascii="Garamond" w:hAnsi="Garamond" w:cs="Times New Roman"/>
          <w:bCs/>
          <w:iCs/>
          <w:sz w:val="24"/>
          <w:szCs w:val="24"/>
        </w:rPr>
        <w:t>users</w:t>
      </w:r>
      <w:r w:rsidR="006D003D" w:rsidRPr="00885EFA">
        <w:rPr>
          <w:rFonts w:ascii="Garamond" w:hAnsi="Garamond" w:cs="Times New Roman"/>
          <w:bCs/>
          <w:iCs/>
          <w:sz w:val="24"/>
          <w:szCs w:val="24"/>
        </w:rPr>
        <w:t xml:space="preserve"> on the changed policy. This calls for a tool that quickly identifies the new position whilst at the same time reflecting gender equality. On that basis</w:t>
      </w:r>
      <w:r w:rsidR="00AD6D8E" w:rsidRPr="00885EFA">
        <w:rPr>
          <w:rFonts w:ascii="Garamond" w:hAnsi="Garamond" w:cs="Times New Roman"/>
          <w:bCs/>
          <w:iCs/>
          <w:sz w:val="24"/>
          <w:szCs w:val="24"/>
        </w:rPr>
        <w:t>,</w:t>
      </w:r>
      <w:r w:rsidR="006D003D" w:rsidRPr="00885EFA">
        <w:rPr>
          <w:rFonts w:ascii="Garamond" w:hAnsi="Garamond" w:cs="Times New Roman"/>
          <w:bCs/>
          <w:iCs/>
          <w:sz w:val="24"/>
          <w:szCs w:val="24"/>
        </w:rPr>
        <w:t xml:space="preserve"> the singular plural technique is ideal: it breaks the </w:t>
      </w:r>
      <w:r w:rsidR="006D003D" w:rsidRPr="00885EFA">
        <w:rPr>
          <w:rFonts w:ascii="Garamond" w:hAnsi="Garamond" w:cs="Times New Roman"/>
          <w:bCs/>
          <w:iCs/>
          <w:sz w:val="24"/>
          <w:szCs w:val="24"/>
        </w:rPr>
        <w:lastRenderedPageBreak/>
        <w:t>barriers of an inherent gender specific language</w:t>
      </w:r>
      <w:r w:rsidR="000E78DF">
        <w:rPr>
          <w:rFonts w:ascii="Garamond" w:hAnsi="Garamond" w:cs="Times New Roman"/>
          <w:bCs/>
          <w:iCs/>
          <w:sz w:val="24"/>
          <w:szCs w:val="24"/>
        </w:rPr>
        <w:t xml:space="preserve"> </w:t>
      </w:r>
      <w:r w:rsidR="006D003D" w:rsidRPr="00885EFA">
        <w:rPr>
          <w:rFonts w:ascii="Garamond" w:hAnsi="Garamond" w:cs="Times New Roman"/>
          <w:bCs/>
          <w:iCs/>
          <w:sz w:val="24"/>
          <w:szCs w:val="24"/>
        </w:rPr>
        <w:t>and uses a grammatically unconventional form to alert the user of the departure from gender spec</w:t>
      </w:r>
      <w:r w:rsidR="00AD6D8E" w:rsidRPr="00885EFA">
        <w:rPr>
          <w:rFonts w:ascii="Garamond" w:hAnsi="Garamond" w:cs="Times New Roman"/>
          <w:bCs/>
          <w:iCs/>
          <w:sz w:val="24"/>
          <w:szCs w:val="24"/>
        </w:rPr>
        <w:t>ific to gender neutral.</w:t>
      </w:r>
      <w:r w:rsidR="00553AE3" w:rsidRPr="00885EFA">
        <w:rPr>
          <w:rFonts w:ascii="Garamond" w:hAnsi="Garamond" w:cs="Times New Roman"/>
          <w:bCs/>
          <w:iCs/>
          <w:sz w:val="24"/>
          <w:szCs w:val="24"/>
        </w:rPr>
        <w:t xml:space="preserve"> But, in doing so, it eliminates the female from legislative expression. In that respect binary legislative expression could serve where the regulatory message is addressed to an exclusively female and binary legislative audience: “she” brings to light the female but excludes not just the male but the non-binary also.</w:t>
      </w:r>
    </w:p>
    <w:p w14:paraId="47FD9537" w14:textId="77777777" w:rsidR="00553AE3" w:rsidRPr="00885EFA" w:rsidRDefault="00553AE3" w:rsidP="00A844FC">
      <w:pPr>
        <w:spacing w:line="480" w:lineRule="auto"/>
        <w:ind w:firstLine="720"/>
        <w:rPr>
          <w:rFonts w:ascii="Garamond" w:hAnsi="Garamond" w:cs="Times New Roman"/>
          <w:bCs/>
          <w:iCs/>
          <w:sz w:val="24"/>
          <w:szCs w:val="24"/>
        </w:rPr>
      </w:pPr>
      <w:r w:rsidRPr="00885EFA">
        <w:rPr>
          <w:rFonts w:ascii="Garamond" w:hAnsi="Garamond" w:cs="Times New Roman"/>
          <w:bCs/>
          <w:iCs/>
          <w:sz w:val="24"/>
          <w:szCs w:val="24"/>
        </w:rPr>
        <w:t>Similarly, there is still scope for gender specific regulatory goals. And it is there, and only there, that gender specificity can serve as the optimal expression of this policy choice.</w:t>
      </w:r>
    </w:p>
    <w:p w14:paraId="66523585" w14:textId="1B6F3161" w:rsidR="008723AB" w:rsidRDefault="00553AE3" w:rsidP="00A844FC">
      <w:pPr>
        <w:spacing w:line="480" w:lineRule="auto"/>
        <w:ind w:firstLine="720"/>
        <w:rPr>
          <w:rFonts w:ascii="Garamond" w:hAnsi="Garamond" w:cs="Times New Roman"/>
          <w:bCs/>
          <w:iCs/>
          <w:sz w:val="24"/>
          <w:szCs w:val="24"/>
        </w:rPr>
      </w:pPr>
      <w:r w:rsidRPr="00885EFA">
        <w:rPr>
          <w:rFonts w:ascii="Garamond" w:hAnsi="Garamond" w:cs="Times New Roman"/>
          <w:bCs/>
          <w:iCs/>
          <w:sz w:val="24"/>
          <w:szCs w:val="24"/>
        </w:rPr>
        <w:t xml:space="preserve">To conclude therefore it is important to link the choice of legislative expression to the choice of gender regulation on an </w:t>
      </w:r>
      <w:r w:rsidRPr="00885EFA">
        <w:rPr>
          <w:rFonts w:ascii="Garamond" w:hAnsi="Garamond" w:cs="Times New Roman"/>
          <w:bCs/>
          <w:i/>
          <w:iCs/>
          <w:sz w:val="24"/>
          <w:szCs w:val="24"/>
        </w:rPr>
        <w:t>ad hoc</w:t>
      </w:r>
      <w:r w:rsidRPr="00885EFA">
        <w:rPr>
          <w:rFonts w:ascii="Garamond" w:hAnsi="Garamond" w:cs="Times New Roman"/>
          <w:bCs/>
          <w:iCs/>
          <w:sz w:val="24"/>
          <w:szCs w:val="24"/>
        </w:rPr>
        <w:t xml:space="preserve"> basis. It is very important to state that </w:t>
      </w:r>
      <w:r w:rsidR="00D270B9" w:rsidRPr="00885EFA">
        <w:rPr>
          <w:rFonts w:ascii="Garamond" w:hAnsi="Garamond" w:cs="Times New Roman"/>
          <w:bCs/>
          <w:iCs/>
          <w:sz w:val="24"/>
          <w:szCs w:val="24"/>
        </w:rPr>
        <w:t>“</w:t>
      </w:r>
      <w:r w:rsidRPr="00885EFA">
        <w:rPr>
          <w:rFonts w:ascii="Garamond" w:hAnsi="Garamond" w:cs="Times New Roman"/>
          <w:bCs/>
          <w:iCs/>
          <w:sz w:val="24"/>
          <w:szCs w:val="24"/>
        </w:rPr>
        <w:t>h</w:t>
      </w:r>
      <w:r w:rsidR="00D270B9" w:rsidRPr="00885EFA">
        <w:rPr>
          <w:rFonts w:ascii="Garamond" w:hAnsi="Garamond" w:cs="Times New Roman"/>
          <w:bCs/>
          <w:iCs/>
          <w:sz w:val="24"/>
          <w:szCs w:val="24"/>
        </w:rPr>
        <w:t xml:space="preserve">e” no longer includes </w:t>
      </w:r>
      <w:r w:rsidR="00172B9F" w:rsidRPr="00885EFA">
        <w:rPr>
          <w:rFonts w:ascii="Garamond" w:hAnsi="Garamond" w:cs="Times New Roman"/>
          <w:bCs/>
          <w:iCs/>
          <w:sz w:val="24"/>
          <w:szCs w:val="24"/>
        </w:rPr>
        <w:t>any other</w:t>
      </w:r>
      <w:r w:rsidR="00D270B9" w:rsidRPr="00885EFA">
        <w:rPr>
          <w:rFonts w:ascii="Garamond" w:hAnsi="Garamond" w:cs="Times New Roman"/>
          <w:bCs/>
          <w:iCs/>
          <w:sz w:val="24"/>
          <w:szCs w:val="24"/>
        </w:rPr>
        <w:t xml:space="preserve"> than him and him alone.</w:t>
      </w:r>
      <w:r w:rsidRPr="00885EFA">
        <w:rPr>
          <w:rFonts w:ascii="Garamond" w:hAnsi="Garamond" w:cs="Times New Roman"/>
          <w:bCs/>
          <w:iCs/>
          <w:sz w:val="24"/>
          <w:szCs w:val="24"/>
        </w:rPr>
        <w:t xml:space="preserve"> But “he” remains the optimal legislative expression if “he” is what is really meant. Thus, the choice of legislative expression within the de-regulation of gender in law project is far from a solitary one. Legislative expression is simply a statement of a policy choice. And here there are two: gender neutrality versus gender inclusivity. It remains therefore a choice of project direction that will inform its expression in the hypothetical draft law. Exciting times ahead! </w:t>
      </w:r>
    </w:p>
    <w:p w14:paraId="7ADC27A6" w14:textId="4B2ECB0A" w:rsidR="00553AE3" w:rsidRPr="00182B95" w:rsidRDefault="005A5ADD" w:rsidP="00182B95">
      <w:pPr>
        <w:pStyle w:val="Heading2"/>
        <w:rPr>
          <w:rStyle w:val="apple-style-span"/>
        </w:rPr>
      </w:pPr>
      <w:r w:rsidRPr="00182B95">
        <w:rPr>
          <w:rStyle w:val="apple-style-span"/>
        </w:rPr>
        <w:t>References</w:t>
      </w:r>
    </w:p>
    <w:p w14:paraId="05CCA9E2" w14:textId="77777777" w:rsidR="001E44D1" w:rsidRPr="0087597B" w:rsidRDefault="00362F98" w:rsidP="001E44D1">
      <w:pPr>
        <w:pStyle w:val="Bibliography"/>
        <w:rPr>
          <w:rFonts w:ascii="Garamond" w:hAnsi="Garamond"/>
          <w:sz w:val="24"/>
          <w:szCs w:val="24"/>
        </w:rPr>
      </w:pPr>
      <w:r w:rsidRPr="006B4F3E">
        <w:rPr>
          <w:rStyle w:val="apple-style-span"/>
          <w:rFonts w:ascii="Garamond" w:hAnsi="Garamond" w:cs="Times New Roman"/>
          <w:sz w:val="24"/>
          <w:szCs w:val="24"/>
        </w:rPr>
        <w:fldChar w:fldCharType="begin"/>
      </w:r>
      <w:r w:rsidRPr="006B4F3E">
        <w:rPr>
          <w:rStyle w:val="apple-style-span"/>
          <w:rFonts w:ascii="Garamond" w:hAnsi="Garamond" w:cs="Times New Roman"/>
          <w:sz w:val="24"/>
          <w:szCs w:val="24"/>
        </w:rPr>
        <w:instrText xml:space="preserve"> ADDIN ZOTERO_BIBL {"uncited":[],"omitted":[],"custom":[]} CSL_BIBLIOGRAPHY </w:instrText>
      </w:r>
      <w:r w:rsidRPr="006B4F3E">
        <w:rPr>
          <w:rStyle w:val="apple-style-span"/>
          <w:rFonts w:ascii="Garamond" w:hAnsi="Garamond" w:cs="Times New Roman"/>
          <w:sz w:val="24"/>
          <w:szCs w:val="24"/>
        </w:rPr>
        <w:fldChar w:fldCharType="separate"/>
      </w:r>
      <w:r w:rsidR="001E44D1" w:rsidRPr="006B4F3E">
        <w:rPr>
          <w:rFonts w:ascii="Garamond" w:hAnsi="Garamond"/>
          <w:sz w:val="24"/>
          <w:szCs w:val="24"/>
        </w:rPr>
        <w:t>Aitken, J., Piesse, E., 1995. The Elements of Drafting. The Law Book Company Limited, Sydney.</w:t>
      </w:r>
    </w:p>
    <w:p w14:paraId="179DF5AE" w14:textId="2847F72B" w:rsidR="001E44D1" w:rsidRPr="001B44B7" w:rsidRDefault="001E44D1" w:rsidP="001E44D1">
      <w:pPr>
        <w:pStyle w:val="Bibliography"/>
        <w:rPr>
          <w:rFonts w:ascii="Garamond" w:hAnsi="Garamond"/>
          <w:sz w:val="24"/>
          <w:szCs w:val="24"/>
        </w:rPr>
      </w:pPr>
      <w:r w:rsidRPr="0087597B">
        <w:rPr>
          <w:rFonts w:ascii="Garamond" w:hAnsi="Garamond"/>
          <w:sz w:val="24"/>
          <w:szCs w:val="24"/>
        </w:rPr>
        <w:t>Alexander, L., Sherwin, E., 2001. The Rule of Rules: Morality, Rules and the Dilemmas of Law. Duke University Press</w:t>
      </w:r>
      <w:r w:rsidR="006C0F03">
        <w:rPr>
          <w:rFonts w:ascii="Garamond" w:hAnsi="Garamond"/>
          <w:sz w:val="24"/>
          <w:szCs w:val="24"/>
        </w:rPr>
        <w:t>, Durham NC</w:t>
      </w:r>
      <w:r w:rsidRPr="0087597B">
        <w:rPr>
          <w:rFonts w:ascii="Garamond" w:hAnsi="Garamond"/>
          <w:sz w:val="24"/>
          <w:szCs w:val="24"/>
        </w:rPr>
        <w:t>.</w:t>
      </w:r>
    </w:p>
    <w:p w14:paraId="61EC2E1E" w14:textId="17F60009" w:rsidR="00B67C0A" w:rsidRDefault="00397183" w:rsidP="006C0F03">
      <w:pPr>
        <w:spacing w:after="0"/>
        <w:ind w:left="709" w:hanging="709"/>
        <w:rPr>
          <w:rFonts w:ascii="Garamond" w:hAnsi="Garamond"/>
          <w:sz w:val="24"/>
          <w:szCs w:val="24"/>
        </w:rPr>
      </w:pPr>
      <w:r w:rsidRPr="006C0F03">
        <w:rPr>
          <w:rFonts w:ascii="Garamond" w:hAnsi="Garamond"/>
          <w:sz w:val="24"/>
          <w:szCs w:val="24"/>
        </w:rPr>
        <w:t>Better Regulation Task Force (BRTF)</w:t>
      </w:r>
      <w:r w:rsidR="008A417F" w:rsidRPr="006C0F03">
        <w:rPr>
          <w:rFonts w:ascii="Garamond" w:hAnsi="Garamond"/>
          <w:sz w:val="24"/>
          <w:szCs w:val="24"/>
        </w:rPr>
        <w:t>, 2005.</w:t>
      </w:r>
      <w:r w:rsidRPr="006C0F03">
        <w:rPr>
          <w:rFonts w:ascii="Garamond" w:hAnsi="Garamond"/>
          <w:sz w:val="24"/>
          <w:szCs w:val="24"/>
        </w:rPr>
        <w:t xml:space="preserve"> Routes to Better Regulation: A Guide to Alternatives to Classic Regulation</w:t>
      </w:r>
      <w:r w:rsidR="008A417F" w:rsidRPr="006C0F03">
        <w:rPr>
          <w:rFonts w:ascii="Garamond" w:hAnsi="Garamond"/>
          <w:sz w:val="24"/>
          <w:szCs w:val="24"/>
        </w:rPr>
        <w:t>.  https://www.eesc.europa.eu/resources/docs/routes_to_better_regulation.pdf</w:t>
      </w:r>
    </w:p>
    <w:p w14:paraId="267247E0" w14:textId="57A70F8B" w:rsidR="00517211" w:rsidRPr="006B4F3E" w:rsidRDefault="00517211" w:rsidP="00532922">
      <w:pPr>
        <w:spacing w:after="0"/>
        <w:ind w:left="720" w:hanging="720"/>
      </w:pPr>
      <w:r w:rsidRPr="006C0F03">
        <w:rPr>
          <w:rFonts w:ascii="Garamond" w:hAnsi="Garamond"/>
          <w:sz w:val="24"/>
          <w:szCs w:val="24"/>
        </w:rPr>
        <w:t>Bertlin,</w:t>
      </w:r>
      <w:r w:rsidR="006C0F03">
        <w:rPr>
          <w:rFonts w:ascii="Garamond" w:hAnsi="Garamond"/>
          <w:sz w:val="24"/>
          <w:szCs w:val="24"/>
        </w:rPr>
        <w:t xml:space="preserve"> A., 2014.</w:t>
      </w:r>
      <w:r w:rsidRPr="006C0F03">
        <w:rPr>
          <w:rFonts w:ascii="Garamond" w:hAnsi="Garamond"/>
          <w:sz w:val="24"/>
          <w:szCs w:val="24"/>
        </w:rPr>
        <w:t xml:space="preserve"> What </w:t>
      </w:r>
      <w:r w:rsidR="006C0F03">
        <w:rPr>
          <w:rFonts w:ascii="Garamond" w:hAnsi="Garamond"/>
          <w:sz w:val="24"/>
          <w:szCs w:val="24"/>
        </w:rPr>
        <w:t>W</w:t>
      </w:r>
      <w:r w:rsidRPr="006C0F03">
        <w:rPr>
          <w:rFonts w:ascii="Garamond" w:hAnsi="Garamond"/>
          <w:sz w:val="24"/>
          <w:szCs w:val="24"/>
        </w:rPr>
        <w:t xml:space="preserve">orks </w:t>
      </w:r>
      <w:r w:rsidR="006C0F03">
        <w:rPr>
          <w:rFonts w:ascii="Garamond" w:hAnsi="Garamond"/>
          <w:sz w:val="24"/>
          <w:szCs w:val="24"/>
        </w:rPr>
        <w:t>B</w:t>
      </w:r>
      <w:r w:rsidRPr="006C0F03">
        <w:rPr>
          <w:rFonts w:ascii="Garamond" w:hAnsi="Garamond"/>
          <w:sz w:val="24"/>
          <w:szCs w:val="24"/>
        </w:rPr>
        <w:t xml:space="preserve">est for the </w:t>
      </w:r>
      <w:r w:rsidR="006C0F03">
        <w:rPr>
          <w:rFonts w:ascii="Garamond" w:hAnsi="Garamond"/>
          <w:sz w:val="24"/>
          <w:szCs w:val="24"/>
        </w:rPr>
        <w:t>R</w:t>
      </w:r>
      <w:r w:rsidRPr="006C0F03">
        <w:rPr>
          <w:rFonts w:ascii="Garamond" w:hAnsi="Garamond"/>
          <w:sz w:val="24"/>
          <w:szCs w:val="24"/>
        </w:rPr>
        <w:t xml:space="preserve">eader? A </w:t>
      </w:r>
      <w:r w:rsidR="006C0F03">
        <w:rPr>
          <w:rFonts w:ascii="Garamond" w:hAnsi="Garamond"/>
          <w:sz w:val="24"/>
          <w:szCs w:val="24"/>
        </w:rPr>
        <w:t>S</w:t>
      </w:r>
      <w:r w:rsidRPr="006C0F03">
        <w:rPr>
          <w:rFonts w:ascii="Garamond" w:hAnsi="Garamond"/>
          <w:sz w:val="24"/>
          <w:szCs w:val="24"/>
        </w:rPr>
        <w:t xml:space="preserve">tudy on </w:t>
      </w:r>
      <w:r w:rsidR="006C0F03">
        <w:rPr>
          <w:rFonts w:ascii="Garamond" w:hAnsi="Garamond"/>
          <w:sz w:val="24"/>
          <w:szCs w:val="24"/>
        </w:rPr>
        <w:t>D</w:t>
      </w:r>
      <w:r w:rsidRPr="006C0F03">
        <w:rPr>
          <w:rFonts w:ascii="Garamond" w:hAnsi="Garamond"/>
          <w:sz w:val="24"/>
          <w:szCs w:val="24"/>
        </w:rPr>
        <w:t xml:space="preserve">rafting and </w:t>
      </w:r>
      <w:r w:rsidR="006C0F03">
        <w:rPr>
          <w:rFonts w:ascii="Garamond" w:hAnsi="Garamond"/>
          <w:sz w:val="24"/>
          <w:szCs w:val="24"/>
        </w:rPr>
        <w:t>P</w:t>
      </w:r>
      <w:r w:rsidRPr="006C0F03">
        <w:rPr>
          <w:rFonts w:ascii="Garamond" w:hAnsi="Garamond"/>
          <w:sz w:val="24"/>
          <w:szCs w:val="24"/>
        </w:rPr>
        <w:t xml:space="preserve">resenting </w:t>
      </w:r>
      <w:r w:rsidR="006C0F03">
        <w:rPr>
          <w:rFonts w:ascii="Garamond" w:hAnsi="Garamond"/>
          <w:sz w:val="24"/>
          <w:szCs w:val="24"/>
        </w:rPr>
        <w:t>L</w:t>
      </w:r>
      <w:r w:rsidRPr="006C0F03">
        <w:rPr>
          <w:rFonts w:ascii="Garamond" w:hAnsi="Garamond"/>
          <w:sz w:val="24"/>
          <w:szCs w:val="24"/>
        </w:rPr>
        <w:t>egislation</w:t>
      </w:r>
      <w:r w:rsidR="006C0F03">
        <w:rPr>
          <w:rFonts w:ascii="Garamond" w:hAnsi="Garamond"/>
          <w:sz w:val="24"/>
          <w:szCs w:val="24"/>
        </w:rPr>
        <w:t>.</w:t>
      </w:r>
      <w:r w:rsidRPr="006C0F03">
        <w:rPr>
          <w:rFonts w:ascii="Garamond" w:hAnsi="Garamond"/>
          <w:sz w:val="24"/>
          <w:szCs w:val="24"/>
        </w:rPr>
        <w:t xml:space="preserve">  </w:t>
      </w:r>
      <w:r w:rsidRPr="005A3290">
        <w:rPr>
          <w:rFonts w:ascii="Garamond" w:hAnsi="Garamond"/>
          <w:sz w:val="24"/>
          <w:szCs w:val="24"/>
        </w:rPr>
        <w:t>The Loophole</w:t>
      </w:r>
      <w:r w:rsidR="006C0F03">
        <w:rPr>
          <w:rFonts w:ascii="Garamond" w:hAnsi="Garamond"/>
          <w:sz w:val="24"/>
          <w:szCs w:val="24"/>
        </w:rPr>
        <w:t xml:space="preserve"> 2 (May)</w:t>
      </w:r>
      <w:r w:rsidRPr="006C0F03">
        <w:rPr>
          <w:rFonts w:ascii="Garamond" w:hAnsi="Garamond"/>
          <w:sz w:val="24"/>
          <w:szCs w:val="24"/>
        </w:rPr>
        <w:t>,</w:t>
      </w:r>
      <w:r w:rsidR="006C0F03">
        <w:rPr>
          <w:rFonts w:ascii="Garamond" w:hAnsi="Garamond"/>
          <w:sz w:val="24"/>
          <w:szCs w:val="24"/>
        </w:rPr>
        <w:t xml:space="preserve"> </w:t>
      </w:r>
      <w:r w:rsidR="00532922">
        <w:rPr>
          <w:rFonts w:ascii="Garamond" w:hAnsi="Garamond"/>
          <w:sz w:val="24"/>
          <w:szCs w:val="24"/>
        </w:rPr>
        <w:t>25–49.</w:t>
      </w:r>
      <w:r w:rsidRPr="006C0F03">
        <w:rPr>
          <w:rFonts w:ascii="Garamond" w:hAnsi="Garamond"/>
          <w:sz w:val="24"/>
          <w:szCs w:val="24"/>
        </w:rPr>
        <w:t xml:space="preserve">   </w:t>
      </w:r>
      <w:r w:rsidRPr="005A3290">
        <w:rPr>
          <w:rFonts w:ascii="Garamond" w:hAnsi="Garamond"/>
          <w:sz w:val="24"/>
          <w:szCs w:val="24"/>
        </w:rPr>
        <w:t>https://www.gov.uk/government/uploads/system/uploads/attachment_data/file/326937/Loophole_-_2014-2__2014-05-09_-What_works_best_for_the_reader.</w:t>
      </w:r>
      <w:r w:rsidRPr="006C0F03">
        <w:t>pdf</w:t>
      </w:r>
    </w:p>
    <w:p w14:paraId="21E6DEFE" w14:textId="3F0C31F8" w:rsidR="001E44D1" w:rsidRPr="006B4F3E" w:rsidRDefault="001E44D1" w:rsidP="001E44D1">
      <w:pPr>
        <w:pStyle w:val="Bibliography"/>
        <w:rPr>
          <w:rFonts w:ascii="Garamond" w:hAnsi="Garamond"/>
          <w:sz w:val="24"/>
          <w:szCs w:val="24"/>
        </w:rPr>
      </w:pPr>
      <w:r w:rsidRPr="006B4F3E">
        <w:rPr>
          <w:rFonts w:ascii="Garamond" w:hAnsi="Garamond"/>
          <w:sz w:val="24"/>
          <w:szCs w:val="24"/>
        </w:rPr>
        <w:t xml:space="preserve">Blank, Y., 2010. The Reenchantment of </w:t>
      </w:r>
      <w:r w:rsidR="00532922">
        <w:rPr>
          <w:rFonts w:ascii="Garamond" w:hAnsi="Garamond"/>
          <w:sz w:val="24"/>
          <w:szCs w:val="24"/>
        </w:rPr>
        <w:t>L</w:t>
      </w:r>
      <w:r w:rsidRPr="006B4F3E">
        <w:rPr>
          <w:rFonts w:ascii="Garamond" w:hAnsi="Garamond"/>
          <w:sz w:val="24"/>
          <w:szCs w:val="24"/>
        </w:rPr>
        <w:t>aw. Cornell Law Rev. 96, 633–670.</w:t>
      </w:r>
    </w:p>
    <w:p w14:paraId="31057464" w14:textId="51E5D534" w:rsidR="001E44D1" w:rsidRPr="006B4F3E" w:rsidRDefault="001E44D1" w:rsidP="001E44D1">
      <w:pPr>
        <w:pStyle w:val="Bibliography"/>
        <w:rPr>
          <w:rFonts w:ascii="Garamond" w:hAnsi="Garamond"/>
          <w:sz w:val="24"/>
          <w:szCs w:val="24"/>
        </w:rPr>
      </w:pPr>
      <w:r w:rsidRPr="006B4F3E">
        <w:rPr>
          <w:rFonts w:ascii="Garamond" w:hAnsi="Garamond"/>
          <w:sz w:val="24"/>
          <w:szCs w:val="24"/>
        </w:rPr>
        <w:lastRenderedPageBreak/>
        <w:t>Bodine, A., 1975. Androcentrism in Prescriptive Grammar: Singular “They”, Sex-Indefinite “He”, and “He or She”</w:t>
      </w:r>
      <w:r w:rsidR="00532922">
        <w:rPr>
          <w:rFonts w:ascii="Garamond" w:hAnsi="Garamond"/>
          <w:sz w:val="24"/>
          <w:szCs w:val="24"/>
        </w:rPr>
        <w:t>.</w:t>
      </w:r>
      <w:r w:rsidRPr="006B4F3E">
        <w:rPr>
          <w:rFonts w:ascii="Garamond" w:hAnsi="Garamond"/>
          <w:sz w:val="24"/>
          <w:szCs w:val="24"/>
        </w:rPr>
        <w:t xml:space="preserve"> Lang. Soc. 4, 129–146.</w:t>
      </w:r>
    </w:p>
    <w:p w14:paraId="291307E7" w14:textId="5D2593C8" w:rsidR="00EB66E5" w:rsidRPr="006B4F3E" w:rsidRDefault="00EB66E5" w:rsidP="005A3290">
      <w:pPr>
        <w:spacing w:after="0"/>
        <w:ind w:left="709" w:hanging="709"/>
        <w:rPr>
          <w:rFonts w:ascii="Garamond" w:hAnsi="Garamond"/>
          <w:sz w:val="24"/>
          <w:szCs w:val="24"/>
        </w:rPr>
      </w:pPr>
      <w:r w:rsidRPr="00532922">
        <w:rPr>
          <w:rFonts w:ascii="Garamond" w:hAnsi="Garamond"/>
          <w:bCs/>
          <w:sz w:val="24"/>
          <w:szCs w:val="24"/>
        </w:rPr>
        <w:t>Burchfield, R. W.</w:t>
      </w:r>
      <w:r w:rsidR="00A7691A" w:rsidRPr="00532922">
        <w:rPr>
          <w:rFonts w:ascii="Garamond" w:hAnsi="Garamond"/>
          <w:bCs/>
          <w:sz w:val="24"/>
          <w:szCs w:val="24"/>
        </w:rPr>
        <w:t xml:space="preserve">, 2004. </w:t>
      </w:r>
      <w:r w:rsidRPr="00532922">
        <w:rPr>
          <w:rFonts w:ascii="Garamond" w:hAnsi="Garamond"/>
          <w:bCs/>
          <w:sz w:val="24"/>
          <w:szCs w:val="24"/>
        </w:rPr>
        <w:t>Fowler’s Modern English Usage, 3rd ed.</w:t>
      </w:r>
      <w:r w:rsidR="00A7691A" w:rsidRPr="00532922">
        <w:rPr>
          <w:rFonts w:ascii="Garamond" w:hAnsi="Garamond"/>
          <w:bCs/>
          <w:sz w:val="24"/>
          <w:szCs w:val="24"/>
        </w:rPr>
        <w:t xml:space="preserve"> Oxford University Press, </w:t>
      </w:r>
      <w:r w:rsidR="004153A2" w:rsidRPr="00532922">
        <w:rPr>
          <w:rFonts w:ascii="Garamond" w:hAnsi="Garamond"/>
          <w:bCs/>
          <w:sz w:val="24"/>
          <w:szCs w:val="24"/>
        </w:rPr>
        <w:t>Oxford.</w:t>
      </w:r>
    </w:p>
    <w:p w14:paraId="394EEA0F" w14:textId="1FDFE3FA" w:rsidR="001E44D1" w:rsidRPr="006B4F3E" w:rsidRDefault="001E44D1" w:rsidP="001E44D1">
      <w:pPr>
        <w:pStyle w:val="Bibliography"/>
        <w:rPr>
          <w:rFonts w:ascii="Garamond" w:hAnsi="Garamond"/>
          <w:sz w:val="24"/>
          <w:szCs w:val="24"/>
        </w:rPr>
      </w:pPr>
      <w:r w:rsidRPr="006B4F3E">
        <w:rPr>
          <w:rFonts w:ascii="Garamond" w:hAnsi="Garamond"/>
          <w:sz w:val="24"/>
          <w:szCs w:val="24"/>
        </w:rPr>
        <w:t xml:space="preserve">Chamberlain, J., 1931. Legislative </w:t>
      </w:r>
      <w:r w:rsidR="00532922">
        <w:rPr>
          <w:rFonts w:ascii="Garamond" w:hAnsi="Garamond"/>
          <w:sz w:val="24"/>
          <w:szCs w:val="24"/>
        </w:rPr>
        <w:t>D</w:t>
      </w:r>
      <w:r w:rsidRPr="006B4F3E">
        <w:rPr>
          <w:rFonts w:ascii="Garamond" w:hAnsi="Garamond"/>
          <w:sz w:val="24"/>
          <w:szCs w:val="24"/>
        </w:rPr>
        <w:t xml:space="preserve">rafting and </w:t>
      </w:r>
      <w:r w:rsidR="00532922">
        <w:rPr>
          <w:rFonts w:ascii="Garamond" w:hAnsi="Garamond"/>
          <w:sz w:val="24"/>
          <w:szCs w:val="24"/>
        </w:rPr>
        <w:t>L</w:t>
      </w:r>
      <w:r w:rsidRPr="006B4F3E">
        <w:rPr>
          <w:rFonts w:ascii="Garamond" w:hAnsi="Garamond"/>
          <w:sz w:val="24"/>
          <w:szCs w:val="24"/>
        </w:rPr>
        <w:t xml:space="preserve">aw </w:t>
      </w:r>
      <w:r w:rsidR="00532922">
        <w:rPr>
          <w:rFonts w:ascii="Garamond" w:hAnsi="Garamond"/>
          <w:sz w:val="24"/>
          <w:szCs w:val="24"/>
        </w:rPr>
        <w:t>E</w:t>
      </w:r>
      <w:r w:rsidRPr="006B4F3E">
        <w:rPr>
          <w:rFonts w:ascii="Garamond" w:hAnsi="Garamond"/>
          <w:sz w:val="24"/>
          <w:szCs w:val="24"/>
        </w:rPr>
        <w:t>nforcement. Am. Labor Legis. Rev. 21, 235–243.</w:t>
      </w:r>
    </w:p>
    <w:p w14:paraId="7BB6C504" w14:textId="6B39BE97" w:rsidR="003410E9" w:rsidRPr="006B4F3E" w:rsidRDefault="003410E9" w:rsidP="005A3290">
      <w:pPr>
        <w:spacing w:after="0"/>
        <w:ind w:left="851" w:hanging="851"/>
        <w:rPr>
          <w:rFonts w:ascii="Garamond" w:hAnsi="Garamond"/>
          <w:sz w:val="24"/>
          <w:szCs w:val="24"/>
        </w:rPr>
      </w:pPr>
      <w:r w:rsidRPr="00532922">
        <w:rPr>
          <w:rFonts w:ascii="Garamond" w:hAnsi="Garamond"/>
          <w:bCs/>
          <w:sz w:val="24"/>
          <w:szCs w:val="24"/>
        </w:rPr>
        <w:t xml:space="preserve">Commission of the European Communities, 2002. European Governance: Better </w:t>
      </w:r>
      <w:r w:rsidR="00532922">
        <w:rPr>
          <w:rFonts w:ascii="Garamond" w:hAnsi="Garamond"/>
          <w:bCs/>
          <w:sz w:val="24"/>
          <w:szCs w:val="24"/>
        </w:rPr>
        <w:t>L</w:t>
      </w:r>
      <w:r w:rsidRPr="00532922">
        <w:rPr>
          <w:rFonts w:ascii="Garamond" w:hAnsi="Garamond"/>
          <w:bCs/>
          <w:sz w:val="24"/>
          <w:szCs w:val="24"/>
        </w:rPr>
        <w:t>awmaking</w:t>
      </w:r>
      <w:r w:rsidR="00CF0D23" w:rsidRPr="00532922">
        <w:rPr>
          <w:rFonts w:ascii="Garamond" w:hAnsi="Garamond"/>
          <w:bCs/>
          <w:sz w:val="24"/>
          <w:szCs w:val="24"/>
        </w:rPr>
        <w:t>.</w:t>
      </w:r>
      <w:r w:rsidRPr="00532922">
        <w:rPr>
          <w:rFonts w:ascii="Garamond" w:hAnsi="Garamond"/>
          <w:bCs/>
          <w:sz w:val="24"/>
          <w:szCs w:val="24"/>
        </w:rPr>
        <w:t xml:space="preserve"> Communication from the Commission.</w:t>
      </w:r>
      <w:r w:rsidRPr="00532922">
        <w:rPr>
          <w:rFonts w:ascii="Garamond" w:hAnsi="Garamond"/>
          <w:sz w:val="24"/>
          <w:szCs w:val="24"/>
        </w:rPr>
        <w:t xml:space="preserve"> </w:t>
      </w:r>
      <w:r w:rsidR="00F5631D" w:rsidRPr="00532922">
        <w:rPr>
          <w:rFonts w:ascii="Garamond" w:hAnsi="Garamond"/>
          <w:sz w:val="24"/>
          <w:szCs w:val="24"/>
        </w:rPr>
        <w:t xml:space="preserve">COM 2002 275 final, 5 June. </w:t>
      </w:r>
      <w:r w:rsidRPr="00532922">
        <w:rPr>
          <w:rFonts w:ascii="Garamond" w:hAnsi="Garamond"/>
          <w:sz w:val="24"/>
          <w:szCs w:val="24"/>
        </w:rPr>
        <w:t xml:space="preserve">Brussels. </w:t>
      </w:r>
    </w:p>
    <w:p w14:paraId="2376111A" w14:textId="13DA488F" w:rsidR="001E44D1" w:rsidRPr="006B4F3E" w:rsidRDefault="001E44D1" w:rsidP="001E44D1">
      <w:pPr>
        <w:pStyle w:val="Bibliography"/>
        <w:rPr>
          <w:rFonts w:ascii="Garamond" w:hAnsi="Garamond"/>
          <w:sz w:val="24"/>
          <w:szCs w:val="24"/>
        </w:rPr>
      </w:pPr>
      <w:r w:rsidRPr="006B4F3E">
        <w:rPr>
          <w:rFonts w:ascii="Garamond" w:hAnsi="Garamond"/>
          <w:sz w:val="24"/>
          <w:szCs w:val="24"/>
        </w:rPr>
        <w:t xml:space="preserve">Corbett, G.G., 1991. Gender, Cambridge Textbooks in Linguistics. Cambridge University Press, Cambridge. </w:t>
      </w:r>
    </w:p>
    <w:p w14:paraId="037AC926" w14:textId="3D12E0CC" w:rsidR="001E44D1" w:rsidRDefault="001E44D1" w:rsidP="001E44D1">
      <w:pPr>
        <w:pStyle w:val="Bibliography"/>
        <w:rPr>
          <w:rFonts w:ascii="Garamond" w:hAnsi="Garamond"/>
          <w:sz w:val="24"/>
          <w:szCs w:val="24"/>
        </w:rPr>
      </w:pPr>
      <w:r w:rsidRPr="006B4F3E">
        <w:rPr>
          <w:rFonts w:ascii="Garamond" w:hAnsi="Garamond"/>
          <w:sz w:val="24"/>
          <w:szCs w:val="24"/>
        </w:rPr>
        <w:t>Cranston, R.F., 1978. Reform Through Legislation:  The Dimension of Legislative Technique. Northwest. Univ. Law Rev. 73, 873</w:t>
      </w:r>
      <w:r w:rsidR="00532922">
        <w:rPr>
          <w:rFonts w:ascii="Garamond" w:hAnsi="Garamond"/>
          <w:sz w:val="24"/>
          <w:szCs w:val="24"/>
        </w:rPr>
        <w:t>–908</w:t>
      </w:r>
      <w:r w:rsidRPr="006B4F3E">
        <w:rPr>
          <w:rFonts w:ascii="Garamond" w:hAnsi="Garamond"/>
          <w:sz w:val="24"/>
          <w:szCs w:val="24"/>
        </w:rPr>
        <w:t>.</w:t>
      </w:r>
    </w:p>
    <w:p w14:paraId="1846BDDD" w14:textId="78E70E84" w:rsidR="00F57628" w:rsidRPr="00250F75" w:rsidRDefault="00F57628" w:rsidP="00182B95">
      <w:pPr>
        <w:spacing w:after="0"/>
        <w:ind w:left="709" w:hanging="709"/>
        <w:rPr>
          <w:rFonts w:ascii="Garamond" w:hAnsi="Garamond"/>
          <w:sz w:val="24"/>
          <w:szCs w:val="24"/>
        </w:rPr>
      </w:pPr>
      <w:r w:rsidRPr="00250F75">
        <w:rPr>
          <w:rFonts w:ascii="Garamond" w:hAnsi="Garamond"/>
          <w:sz w:val="24"/>
          <w:szCs w:val="24"/>
        </w:rPr>
        <w:t xml:space="preserve">Desprez-Bouanchaud, A., </w:t>
      </w:r>
      <w:r w:rsidR="00427B17" w:rsidRPr="00250F75">
        <w:rPr>
          <w:rFonts w:ascii="Garamond" w:hAnsi="Garamond"/>
          <w:sz w:val="24"/>
          <w:szCs w:val="24"/>
        </w:rPr>
        <w:t>Dooalege,</w:t>
      </w:r>
      <w:r w:rsidR="003C40F8">
        <w:rPr>
          <w:rFonts w:ascii="Garamond" w:hAnsi="Garamond"/>
          <w:sz w:val="24"/>
          <w:szCs w:val="24"/>
        </w:rPr>
        <w:t xml:space="preserve"> J., R</w:t>
      </w:r>
      <w:r w:rsidR="00427B17" w:rsidRPr="00250F75">
        <w:rPr>
          <w:rFonts w:ascii="Garamond" w:hAnsi="Garamond"/>
          <w:sz w:val="24"/>
          <w:szCs w:val="24"/>
        </w:rPr>
        <w:t>u</w:t>
      </w:r>
      <w:r w:rsidR="003C40F8">
        <w:rPr>
          <w:rFonts w:ascii="Garamond" w:hAnsi="Garamond"/>
          <w:sz w:val="24"/>
          <w:szCs w:val="24"/>
        </w:rPr>
        <w:t>p</w:t>
      </w:r>
      <w:r w:rsidR="00427B17" w:rsidRPr="00250F75">
        <w:rPr>
          <w:rFonts w:ascii="Garamond" w:hAnsi="Garamond"/>
          <w:sz w:val="24"/>
          <w:szCs w:val="24"/>
        </w:rPr>
        <w:t xml:space="preserve">recht, L., </w:t>
      </w:r>
      <w:r w:rsidR="003C40F8">
        <w:rPr>
          <w:rFonts w:ascii="Garamond" w:hAnsi="Garamond"/>
          <w:sz w:val="24"/>
          <w:szCs w:val="24"/>
        </w:rPr>
        <w:t xml:space="preserve">1999. </w:t>
      </w:r>
      <w:r w:rsidR="00427B17" w:rsidRPr="00250F75">
        <w:rPr>
          <w:rFonts w:ascii="Garamond" w:hAnsi="Garamond"/>
          <w:sz w:val="24"/>
          <w:szCs w:val="24"/>
        </w:rPr>
        <w:t>Guidelines on Gender-Neutral Language</w:t>
      </w:r>
      <w:r w:rsidR="00250F75" w:rsidRPr="00250F75">
        <w:rPr>
          <w:rFonts w:ascii="Garamond" w:hAnsi="Garamond"/>
          <w:sz w:val="24"/>
          <w:szCs w:val="24"/>
        </w:rPr>
        <w:t>. Unit for the Promotion of the Status of Women and Gender Equality, UNESCO.</w:t>
      </w:r>
    </w:p>
    <w:p w14:paraId="18835AD9" w14:textId="794E990F" w:rsidR="001E44D1" w:rsidRPr="006B4F3E" w:rsidRDefault="001E44D1" w:rsidP="001E44D1">
      <w:pPr>
        <w:pStyle w:val="Bibliography"/>
        <w:rPr>
          <w:rFonts w:ascii="Garamond" w:hAnsi="Garamond"/>
          <w:sz w:val="24"/>
          <w:szCs w:val="24"/>
        </w:rPr>
      </w:pPr>
      <w:r w:rsidRPr="006B4F3E">
        <w:rPr>
          <w:rFonts w:ascii="Garamond" w:hAnsi="Garamond"/>
          <w:sz w:val="24"/>
          <w:szCs w:val="24"/>
        </w:rPr>
        <w:t xml:space="preserve">Driedger, E.A., 1976. The </w:t>
      </w:r>
      <w:r w:rsidR="00532922">
        <w:rPr>
          <w:rFonts w:ascii="Garamond" w:hAnsi="Garamond"/>
          <w:sz w:val="24"/>
          <w:szCs w:val="24"/>
        </w:rPr>
        <w:t>C</w:t>
      </w:r>
      <w:r w:rsidRPr="006B4F3E">
        <w:rPr>
          <w:rFonts w:ascii="Garamond" w:hAnsi="Garamond"/>
          <w:sz w:val="24"/>
          <w:szCs w:val="24"/>
        </w:rPr>
        <w:t xml:space="preserve">omposition of </w:t>
      </w:r>
      <w:r w:rsidR="00CB6CC4">
        <w:rPr>
          <w:rFonts w:ascii="Garamond" w:hAnsi="Garamond"/>
          <w:sz w:val="24"/>
          <w:szCs w:val="24"/>
        </w:rPr>
        <w:t>L</w:t>
      </w:r>
      <w:r w:rsidRPr="006B4F3E">
        <w:rPr>
          <w:rFonts w:ascii="Garamond" w:hAnsi="Garamond"/>
          <w:sz w:val="24"/>
          <w:szCs w:val="24"/>
        </w:rPr>
        <w:t xml:space="preserve">egislation: </w:t>
      </w:r>
      <w:r w:rsidR="00CB6CC4">
        <w:rPr>
          <w:rFonts w:ascii="Garamond" w:hAnsi="Garamond"/>
          <w:sz w:val="24"/>
          <w:szCs w:val="24"/>
        </w:rPr>
        <w:t>L</w:t>
      </w:r>
      <w:r w:rsidRPr="006B4F3E">
        <w:rPr>
          <w:rFonts w:ascii="Garamond" w:hAnsi="Garamond"/>
          <w:sz w:val="24"/>
          <w:szCs w:val="24"/>
        </w:rPr>
        <w:t xml:space="preserve">egislative </w:t>
      </w:r>
      <w:r w:rsidR="00CB6CC4">
        <w:rPr>
          <w:rFonts w:ascii="Garamond" w:hAnsi="Garamond"/>
          <w:sz w:val="24"/>
          <w:szCs w:val="24"/>
        </w:rPr>
        <w:t>F</w:t>
      </w:r>
      <w:r w:rsidRPr="006B4F3E">
        <w:rPr>
          <w:rFonts w:ascii="Garamond" w:hAnsi="Garamond"/>
          <w:sz w:val="24"/>
          <w:szCs w:val="24"/>
        </w:rPr>
        <w:t xml:space="preserve">orms and </w:t>
      </w:r>
      <w:r w:rsidR="00CB6CC4">
        <w:rPr>
          <w:rFonts w:ascii="Garamond" w:hAnsi="Garamond"/>
          <w:sz w:val="24"/>
          <w:szCs w:val="24"/>
        </w:rPr>
        <w:t>P</w:t>
      </w:r>
      <w:r w:rsidRPr="006B4F3E">
        <w:rPr>
          <w:rFonts w:ascii="Garamond" w:hAnsi="Garamond"/>
          <w:sz w:val="24"/>
          <w:szCs w:val="24"/>
        </w:rPr>
        <w:t>recedents. Ministry of Justice, Ottawa.</w:t>
      </w:r>
    </w:p>
    <w:p w14:paraId="0240F879" w14:textId="5752BC4C" w:rsidR="001E44D1" w:rsidRPr="006B4F3E" w:rsidRDefault="001E44D1" w:rsidP="001E44D1">
      <w:pPr>
        <w:pStyle w:val="Bibliography"/>
        <w:rPr>
          <w:rFonts w:ascii="Garamond" w:hAnsi="Garamond"/>
          <w:sz w:val="24"/>
          <w:szCs w:val="24"/>
        </w:rPr>
      </w:pPr>
      <w:r w:rsidRPr="006B4F3E">
        <w:rPr>
          <w:rFonts w:ascii="Garamond" w:hAnsi="Garamond"/>
          <w:sz w:val="24"/>
          <w:szCs w:val="24"/>
        </w:rPr>
        <w:t>Flückiger, A., 2004. Régulation, dérégulation, autorégulation</w:t>
      </w:r>
      <w:r w:rsidRPr="006B4F3E">
        <w:rPr>
          <w:rFonts w:ascii="Times New Roman" w:hAnsi="Times New Roman" w:cs="Times New Roman"/>
          <w:sz w:val="24"/>
          <w:szCs w:val="24"/>
        </w:rPr>
        <w:t> </w:t>
      </w:r>
      <w:r w:rsidRPr="006B4F3E">
        <w:rPr>
          <w:rFonts w:ascii="Garamond" w:hAnsi="Garamond"/>
          <w:sz w:val="24"/>
          <w:szCs w:val="24"/>
        </w:rPr>
        <w:t xml:space="preserve">: </w:t>
      </w:r>
      <w:r w:rsidR="008B5542">
        <w:rPr>
          <w:rFonts w:ascii="Garamond" w:hAnsi="Garamond"/>
          <w:sz w:val="24"/>
          <w:szCs w:val="24"/>
        </w:rPr>
        <w:t>l'</w:t>
      </w:r>
      <w:r w:rsidRPr="006B4F3E">
        <w:rPr>
          <w:rFonts w:ascii="Garamond" w:hAnsi="Garamond"/>
          <w:sz w:val="24"/>
          <w:szCs w:val="24"/>
        </w:rPr>
        <w:t>émergence des actes étatiques non obligatoires. Rev. Droit Suisse 2, 159</w:t>
      </w:r>
      <w:r w:rsidR="00CB6CC4">
        <w:rPr>
          <w:rFonts w:ascii="Garamond" w:hAnsi="Garamond"/>
          <w:sz w:val="24"/>
          <w:szCs w:val="24"/>
        </w:rPr>
        <w:t>–303</w:t>
      </w:r>
      <w:r w:rsidRPr="006B4F3E">
        <w:rPr>
          <w:rFonts w:ascii="Garamond" w:hAnsi="Garamond"/>
          <w:sz w:val="24"/>
          <w:szCs w:val="24"/>
        </w:rPr>
        <w:t>.</w:t>
      </w:r>
    </w:p>
    <w:p w14:paraId="1188F1EE" w14:textId="77777777" w:rsidR="001E44D1" w:rsidRPr="006B4F3E" w:rsidRDefault="001E44D1" w:rsidP="001E44D1">
      <w:pPr>
        <w:pStyle w:val="Bibliography"/>
        <w:rPr>
          <w:rFonts w:ascii="Garamond" w:hAnsi="Garamond"/>
          <w:sz w:val="24"/>
          <w:szCs w:val="24"/>
        </w:rPr>
      </w:pPr>
      <w:r w:rsidRPr="006B4F3E">
        <w:rPr>
          <w:rFonts w:ascii="Garamond" w:hAnsi="Garamond"/>
          <w:sz w:val="24"/>
          <w:szCs w:val="24"/>
        </w:rPr>
        <w:t>Gracia, J., 1995. A Theory of Textuality: The Logic and Epistemology. SUNY Press, Albany.</w:t>
      </w:r>
    </w:p>
    <w:p w14:paraId="4DB6053D" w14:textId="1495BC9E" w:rsidR="001E44D1" w:rsidRPr="00D5070D" w:rsidRDefault="001E44D1" w:rsidP="001E44D1">
      <w:pPr>
        <w:pStyle w:val="Bibliography"/>
        <w:rPr>
          <w:rFonts w:ascii="Garamond" w:hAnsi="Garamond"/>
          <w:sz w:val="24"/>
          <w:szCs w:val="24"/>
        </w:rPr>
      </w:pPr>
      <w:r w:rsidRPr="006B4F3E">
        <w:rPr>
          <w:rFonts w:ascii="Garamond" w:hAnsi="Garamond"/>
          <w:sz w:val="24"/>
          <w:szCs w:val="24"/>
        </w:rPr>
        <w:t>Greenberg, D., 2008</w:t>
      </w:r>
      <w:r w:rsidR="00B000EC" w:rsidRPr="006B4F3E">
        <w:rPr>
          <w:rFonts w:ascii="Garamond" w:hAnsi="Garamond"/>
          <w:sz w:val="24"/>
          <w:szCs w:val="24"/>
        </w:rPr>
        <w:t>a</w:t>
      </w:r>
      <w:r w:rsidRPr="006B4F3E">
        <w:rPr>
          <w:rFonts w:ascii="Garamond" w:hAnsi="Garamond"/>
          <w:sz w:val="24"/>
          <w:szCs w:val="24"/>
        </w:rPr>
        <w:t>. The Techniques of Gender Neutral Drafting, in</w:t>
      </w:r>
      <w:r w:rsidR="00401582" w:rsidRPr="006B4F3E">
        <w:rPr>
          <w:rFonts w:ascii="Garamond" w:hAnsi="Garamond"/>
          <w:sz w:val="24"/>
          <w:szCs w:val="24"/>
        </w:rPr>
        <w:t xml:space="preserve"> </w:t>
      </w:r>
      <w:r w:rsidR="00195F1F" w:rsidRPr="006B4F3E">
        <w:rPr>
          <w:rFonts w:ascii="Garamond" w:hAnsi="Garamond"/>
          <w:sz w:val="24"/>
          <w:szCs w:val="24"/>
        </w:rPr>
        <w:t>S</w:t>
      </w:r>
      <w:r w:rsidR="00624116">
        <w:rPr>
          <w:rFonts w:ascii="Garamond" w:hAnsi="Garamond"/>
          <w:sz w:val="24"/>
          <w:szCs w:val="24"/>
        </w:rPr>
        <w:t>. S</w:t>
      </w:r>
      <w:r w:rsidR="00195F1F" w:rsidRPr="006B4F3E">
        <w:rPr>
          <w:rFonts w:ascii="Garamond" w:hAnsi="Garamond"/>
          <w:sz w:val="24"/>
          <w:szCs w:val="24"/>
        </w:rPr>
        <w:t xml:space="preserve">tefanou and </w:t>
      </w:r>
      <w:r w:rsidR="00624116">
        <w:rPr>
          <w:rFonts w:ascii="Garamond" w:hAnsi="Garamond"/>
          <w:sz w:val="24"/>
          <w:szCs w:val="24"/>
        </w:rPr>
        <w:t xml:space="preserve">H. </w:t>
      </w:r>
      <w:r w:rsidR="00195F1F" w:rsidRPr="006B4F3E">
        <w:rPr>
          <w:rFonts w:ascii="Garamond" w:hAnsi="Garamond"/>
          <w:sz w:val="24"/>
          <w:szCs w:val="24"/>
        </w:rPr>
        <w:t>Xanthaki,</w:t>
      </w:r>
      <w:r w:rsidR="00B000EC" w:rsidRPr="006B4F3E">
        <w:rPr>
          <w:rFonts w:ascii="Garamond" w:hAnsi="Garamond"/>
          <w:sz w:val="24"/>
          <w:szCs w:val="24"/>
        </w:rPr>
        <w:t xml:space="preserve"> eds.</w:t>
      </w:r>
      <w:r w:rsidRPr="0087597B">
        <w:rPr>
          <w:rFonts w:ascii="Garamond" w:hAnsi="Garamond"/>
          <w:sz w:val="24"/>
          <w:szCs w:val="24"/>
        </w:rPr>
        <w:t xml:space="preserve"> Drafting Legislation: A Modern Approach. Ashgate, Aldershot, p</w:t>
      </w:r>
      <w:r w:rsidR="00D5070D">
        <w:rPr>
          <w:rFonts w:ascii="Garamond" w:hAnsi="Garamond"/>
          <w:sz w:val="24"/>
          <w:szCs w:val="24"/>
        </w:rPr>
        <w:t>p.</w:t>
      </w:r>
      <w:r w:rsidRPr="0087597B">
        <w:rPr>
          <w:rFonts w:ascii="Garamond" w:hAnsi="Garamond"/>
          <w:sz w:val="24"/>
          <w:szCs w:val="24"/>
        </w:rPr>
        <w:t xml:space="preserve"> 63</w:t>
      </w:r>
      <w:r w:rsidR="00124A32">
        <w:rPr>
          <w:rFonts w:ascii="Garamond" w:hAnsi="Garamond"/>
          <w:sz w:val="24"/>
          <w:szCs w:val="24"/>
        </w:rPr>
        <w:t>–</w:t>
      </w:r>
      <w:r w:rsidR="00D5070D">
        <w:rPr>
          <w:rFonts w:ascii="Garamond" w:hAnsi="Garamond"/>
          <w:sz w:val="24"/>
          <w:szCs w:val="24"/>
        </w:rPr>
        <w:t>76</w:t>
      </w:r>
      <w:r w:rsidRPr="00D5070D">
        <w:rPr>
          <w:rFonts w:ascii="Garamond" w:hAnsi="Garamond"/>
          <w:sz w:val="24"/>
          <w:szCs w:val="24"/>
        </w:rPr>
        <w:t>.</w:t>
      </w:r>
    </w:p>
    <w:p w14:paraId="572ADB3B" w14:textId="423BAC75" w:rsidR="001E44D1" w:rsidRPr="006B4F3E" w:rsidRDefault="001E44D1" w:rsidP="009102AD">
      <w:pPr>
        <w:pStyle w:val="Bibliography"/>
        <w:rPr>
          <w:rFonts w:ascii="Garamond" w:hAnsi="Garamond"/>
          <w:sz w:val="24"/>
          <w:szCs w:val="24"/>
        </w:rPr>
      </w:pPr>
      <w:r w:rsidRPr="006906E5">
        <w:rPr>
          <w:rFonts w:ascii="Garamond" w:hAnsi="Garamond"/>
          <w:sz w:val="24"/>
          <w:szCs w:val="24"/>
        </w:rPr>
        <w:t>Greenberg, D., 2008</w:t>
      </w:r>
      <w:r w:rsidR="00B000EC" w:rsidRPr="006906E5">
        <w:rPr>
          <w:rFonts w:ascii="Garamond" w:hAnsi="Garamond"/>
          <w:sz w:val="24"/>
          <w:szCs w:val="24"/>
        </w:rPr>
        <w:t>b</w:t>
      </w:r>
      <w:r w:rsidRPr="006906E5">
        <w:rPr>
          <w:rFonts w:ascii="Garamond" w:hAnsi="Garamond"/>
          <w:sz w:val="24"/>
          <w:szCs w:val="24"/>
        </w:rPr>
        <w:t>. Craies on Legislation: A Practitioner’s Guide to the Nature, Process, Effect and Interpretation of Legislation.</w:t>
      </w:r>
      <w:r w:rsidR="00850562" w:rsidRPr="006906E5">
        <w:rPr>
          <w:rFonts w:ascii="Garamond" w:hAnsi="Garamond"/>
          <w:sz w:val="24"/>
          <w:szCs w:val="24"/>
        </w:rPr>
        <w:t xml:space="preserve"> Sweet and Maxwell, London. </w:t>
      </w:r>
    </w:p>
    <w:p w14:paraId="702B7B9F" w14:textId="7F7DC894" w:rsidR="00A76C72" w:rsidRPr="00CB6CC4" w:rsidRDefault="00A76C72" w:rsidP="00CB6CC4">
      <w:pPr>
        <w:spacing w:after="0" w:line="240" w:lineRule="auto"/>
        <w:ind w:left="709" w:hanging="709"/>
        <w:rPr>
          <w:rFonts w:ascii="Garamond" w:eastAsia="Times New Roman" w:hAnsi="Garamond" w:cs="Times New Roman"/>
          <w:sz w:val="24"/>
          <w:szCs w:val="24"/>
          <w:lang w:eastAsia="en-GB"/>
        </w:rPr>
      </w:pPr>
      <w:r w:rsidRPr="00CB6CC4">
        <w:rPr>
          <w:rFonts w:ascii="Garamond" w:eastAsia="Times New Roman" w:hAnsi="Garamond" w:cs="Arial"/>
          <w:color w:val="333333"/>
          <w:sz w:val="24"/>
          <w:szCs w:val="24"/>
          <w:lang w:eastAsia="en-GB"/>
        </w:rPr>
        <w:t xml:space="preserve">High Level Group on the </w:t>
      </w:r>
      <w:r w:rsidR="00CB6CC4">
        <w:rPr>
          <w:rFonts w:ascii="Garamond" w:eastAsia="Times New Roman" w:hAnsi="Garamond" w:cs="Arial"/>
          <w:color w:val="333333"/>
          <w:sz w:val="24"/>
          <w:szCs w:val="24"/>
          <w:lang w:eastAsia="en-GB"/>
        </w:rPr>
        <w:t>F</w:t>
      </w:r>
      <w:r w:rsidRPr="00CB6CC4">
        <w:rPr>
          <w:rFonts w:ascii="Garamond" w:eastAsia="Times New Roman" w:hAnsi="Garamond" w:cs="Arial"/>
          <w:color w:val="333333"/>
          <w:sz w:val="24"/>
          <w:szCs w:val="24"/>
          <w:lang w:eastAsia="en-GB"/>
        </w:rPr>
        <w:t xml:space="preserve">unctioning of the Internal Market, 1992. The Internal Market </w:t>
      </w:r>
      <w:r w:rsidR="00CB6CC4">
        <w:rPr>
          <w:rFonts w:ascii="Garamond" w:eastAsia="Times New Roman" w:hAnsi="Garamond" w:cs="Arial"/>
          <w:color w:val="333333"/>
          <w:sz w:val="24"/>
          <w:szCs w:val="24"/>
          <w:lang w:eastAsia="en-GB"/>
        </w:rPr>
        <w:t>A</w:t>
      </w:r>
      <w:r w:rsidRPr="00CB6CC4">
        <w:rPr>
          <w:rFonts w:ascii="Garamond" w:eastAsia="Times New Roman" w:hAnsi="Garamond" w:cs="Arial"/>
          <w:color w:val="333333"/>
          <w:sz w:val="24"/>
          <w:szCs w:val="24"/>
          <w:lang w:eastAsia="en-GB"/>
        </w:rPr>
        <w:t xml:space="preserve">fter 1992: Meeting the Challenge. </w:t>
      </w:r>
      <w:r w:rsidR="00CC2982">
        <w:rPr>
          <w:rFonts w:ascii="Garamond" w:eastAsia="Times New Roman" w:hAnsi="Garamond" w:cs="Arial"/>
          <w:color w:val="333333"/>
          <w:sz w:val="24"/>
          <w:szCs w:val="24"/>
          <w:lang w:eastAsia="en-GB"/>
        </w:rPr>
        <w:t xml:space="preserve">European Commission. </w:t>
      </w:r>
    </w:p>
    <w:p w14:paraId="222945E5" w14:textId="6A0151A9" w:rsidR="001E44D1" w:rsidRDefault="001E44D1" w:rsidP="001E44D1">
      <w:pPr>
        <w:pStyle w:val="Bibliography"/>
        <w:rPr>
          <w:rFonts w:ascii="Garamond" w:hAnsi="Garamond"/>
          <w:sz w:val="24"/>
          <w:szCs w:val="24"/>
        </w:rPr>
      </w:pPr>
      <w:r w:rsidRPr="006B4F3E">
        <w:rPr>
          <w:rFonts w:ascii="Garamond" w:hAnsi="Garamond"/>
          <w:sz w:val="24"/>
          <w:szCs w:val="24"/>
        </w:rPr>
        <w:t>Hill, W.B., 1992. A Need For The Use Of Nonsexist Language In The Courts. Wash. Lee Law Rev. 49, 275</w:t>
      </w:r>
      <w:r w:rsidR="00CB6CC4">
        <w:rPr>
          <w:rFonts w:ascii="Garamond" w:hAnsi="Garamond"/>
          <w:sz w:val="24"/>
          <w:szCs w:val="24"/>
        </w:rPr>
        <w:t>–278</w:t>
      </w:r>
      <w:r w:rsidRPr="006B4F3E">
        <w:rPr>
          <w:rFonts w:ascii="Garamond" w:hAnsi="Garamond"/>
          <w:sz w:val="24"/>
          <w:szCs w:val="24"/>
        </w:rPr>
        <w:t>.</w:t>
      </w:r>
    </w:p>
    <w:p w14:paraId="3045EB41" w14:textId="771ED203" w:rsidR="002072F6" w:rsidRPr="002072F6" w:rsidRDefault="002072F6" w:rsidP="00124A32">
      <w:pPr>
        <w:spacing w:after="0"/>
        <w:ind w:left="709" w:hanging="709"/>
        <w:rPr>
          <w:rFonts w:ascii="Garamond" w:hAnsi="Garamond"/>
          <w:sz w:val="24"/>
          <w:szCs w:val="24"/>
        </w:rPr>
      </w:pPr>
      <w:r w:rsidRPr="00124A32">
        <w:rPr>
          <w:rFonts w:ascii="Garamond" w:hAnsi="Garamond"/>
          <w:sz w:val="24"/>
          <w:szCs w:val="24"/>
        </w:rPr>
        <w:t>Hull,</w:t>
      </w:r>
      <w:r>
        <w:rPr>
          <w:rFonts w:ascii="Garamond" w:hAnsi="Garamond"/>
          <w:sz w:val="24"/>
          <w:szCs w:val="24"/>
        </w:rPr>
        <w:t xml:space="preserve"> D.,</w:t>
      </w:r>
      <w:r w:rsidRPr="00124A32">
        <w:rPr>
          <w:rFonts w:ascii="Garamond" w:hAnsi="Garamond"/>
          <w:sz w:val="24"/>
          <w:szCs w:val="24"/>
        </w:rPr>
        <w:t xml:space="preserve"> </w:t>
      </w:r>
      <w:r>
        <w:rPr>
          <w:rFonts w:ascii="Garamond" w:hAnsi="Garamond"/>
          <w:sz w:val="24"/>
          <w:szCs w:val="24"/>
        </w:rPr>
        <w:t xml:space="preserve">2000. </w:t>
      </w:r>
      <w:r w:rsidRPr="002072F6">
        <w:rPr>
          <w:rFonts w:ascii="Garamond" w:hAnsi="Garamond"/>
          <w:sz w:val="24"/>
          <w:szCs w:val="24"/>
        </w:rPr>
        <w:t>Drafters Devils.</w:t>
      </w:r>
      <w:r w:rsidRPr="00124A32">
        <w:rPr>
          <w:rFonts w:ascii="Garamond" w:hAnsi="Garamond"/>
          <w:sz w:val="24"/>
          <w:szCs w:val="24"/>
        </w:rPr>
        <w:t xml:space="preserve"> The Loophole </w:t>
      </w:r>
      <w:r>
        <w:rPr>
          <w:rFonts w:ascii="Garamond" w:hAnsi="Garamond"/>
          <w:sz w:val="24"/>
          <w:szCs w:val="24"/>
        </w:rPr>
        <w:t>(June), 15</w:t>
      </w:r>
      <w:r w:rsidR="00124A32">
        <w:rPr>
          <w:rFonts w:ascii="Garamond" w:hAnsi="Garamond"/>
          <w:sz w:val="24"/>
          <w:szCs w:val="24"/>
        </w:rPr>
        <w:t>–</w:t>
      </w:r>
      <w:r>
        <w:rPr>
          <w:rFonts w:ascii="Garamond" w:hAnsi="Garamond"/>
          <w:sz w:val="24"/>
          <w:szCs w:val="24"/>
        </w:rPr>
        <w:t>25.</w:t>
      </w:r>
      <w:r w:rsidRPr="00124A32">
        <w:rPr>
          <w:rFonts w:ascii="Garamond" w:hAnsi="Garamond"/>
          <w:sz w:val="24"/>
          <w:szCs w:val="24"/>
        </w:rPr>
        <w:t xml:space="preserve"> https://www.calc.ngo/sites/default/files/loophole/jun-2000.pdf</w:t>
      </w:r>
    </w:p>
    <w:p w14:paraId="246B2567" w14:textId="77777777" w:rsidR="001E44D1" w:rsidRPr="006B4F3E" w:rsidRDefault="001E44D1" w:rsidP="001E44D1">
      <w:pPr>
        <w:pStyle w:val="Bibliography"/>
        <w:rPr>
          <w:rFonts w:ascii="Garamond" w:hAnsi="Garamond"/>
          <w:sz w:val="24"/>
          <w:szCs w:val="24"/>
        </w:rPr>
      </w:pPr>
      <w:r w:rsidRPr="006B4F3E">
        <w:rPr>
          <w:rFonts w:ascii="Garamond" w:hAnsi="Garamond"/>
          <w:sz w:val="24"/>
          <w:szCs w:val="24"/>
        </w:rPr>
        <w:t>Iredell, J., 1981. Social Order and the Limits of Law. Princeton University Press, Princeton.</w:t>
      </w:r>
    </w:p>
    <w:p w14:paraId="3D86B7A3" w14:textId="4DB02D4E" w:rsidR="001E44D1" w:rsidRPr="006B4F3E" w:rsidRDefault="001E44D1" w:rsidP="001E44D1">
      <w:pPr>
        <w:pStyle w:val="Bibliography"/>
        <w:rPr>
          <w:rFonts w:ascii="Garamond" w:hAnsi="Garamond"/>
          <w:sz w:val="24"/>
          <w:szCs w:val="24"/>
        </w:rPr>
      </w:pPr>
      <w:r w:rsidRPr="006B4F3E">
        <w:rPr>
          <w:rFonts w:ascii="Garamond" w:hAnsi="Garamond"/>
          <w:sz w:val="24"/>
          <w:szCs w:val="24"/>
        </w:rPr>
        <w:t xml:space="preserve">Karpen, U., 1996. The </w:t>
      </w:r>
      <w:r w:rsidR="00124A32">
        <w:rPr>
          <w:rFonts w:ascii="Garamond" w:hAnsi="Garamond"/>
          <w:sz w:val="24"/>
          <w:szCs w:val="24"/>
        </w:rPr>
        <w:t>N</w:t>
      </w:r>
      <w:r w:rsidRPr="006B4F3E">
        <w:rPr>
          <w:rFonts w:ascii="Garamond" w:hAnsi="Garamond"/>
          <w:sz w:val="24"/>
          <w:szCs w:val="24"/>
        </w:rPr>
        <w:t xml:space="preserve">orm </w:t>
      </w:r>
      <w:r w:rsidR="00124A32">
        <w:rPr>
          <w:rFonts w:ascii="Garamond" w:hAnsi="Garamond"/>
          <w:sz w:val="24"/>
          <w:szCs w:val="24"/>
        </w:rPr>
        <w:t>E</w:t>
      </w:r>
      <w:r w:rsidRPr="006B4F3E">
        <w:rPr>
          <w:rFonts w:ascii="Garamond" w:hAnsi="Garamond"/>
          <w:sz w:val="24"/>
          <w:szCs w:val="24"/>
        </w:rPr>
        <w:t xml:space="preserve">nforcement </w:t>
      </w:r>
      <w:r w:rsidR="00124A32">
        <w:rPr>
          <w:rFonts w:ascii="Garamond" w:hAnsi="Garamond"/>
          <w:sz w:val="24"/>
          <w:szCs w:val="24"/>
        </w:rPr>
        <w:t>P</w:t>
      </w:r>
      <w:r w:rsidRPr="006B4F3E">
        <w:rPr>
          <w:rFonts w:ascii="Garamond" w:hAnsi="Garamond"/>
          <w:sz w:val="24"/>
          <w:szCs w:val="24"/>
        </w:rPr>
        <w:t>rocess, in</w:t>
      </w:r>
      <w:r w:rsidR="003D5839">
        <w:rPr>
          <w:rFonts w:ascii="Garamond" w:hAnsi="Garamond"/>
          <w:sz w:val="24"/>
          <w:szCs w:val="24"/>
        </w:rPr>
        <w:t xml:space="preserve"> U. Karpen and P. Delnoy,</w:t>
      </w:r>
      <w:r w:rsidR="00CC2982">
        <w:rPr>
          <w:rFonts w:ascii="Garamond" w:hAnsi="Garamond"/>
          <w:sz w:val="24"/>
          <w:szCs w:val="24"/>
        </w:rPr>
        <w:t xml:space="preserve"> </w:t>
      </w:r>
      <w:r w:rsidR="003D5839">
        <w:rPr>
          <w:rFonts w:ascii="Garamond" w:hAnsi="Garamond"/>
          <w:sz w:val="24"/>
          <w:szCs w:val="24"/>
        </w:rPr>
        <w:t>eds.</w:t>
      </w:r>
      <w:r w:rsidRPr="006B4F3E">
        <w:rPr>
          <w:rFonts w:ascii="Garamond" w:hAnsi="Garamond"/>
          <w:sz w:val="24"/>
          <w:szCs w:val="24"/>
        </w:rPr>
        <w:t xml:space="preserve"> Contributions to the Methodology of the Creation of Written Law. Nomos, Baden-Baden, p</w:t>
      </w:r>
      <w:r w:rsidR="00196965">
        <w:rPr>
          <w:rFonts w:ascii="Garamond" w:hAnsi="Garamond"/>
          <w:sz w:val="24"/>
          <w:szCs w:val="24"/>
        </w:rPr>
        <w:t>p</w:t>
      </w:r>
      <w:r w:rsidRPr="006B4F3E">
        <w:rPr>
          <w:rFonts w:ascii="Garamond" w:hAnsi="Garamond"/>
          <w:sz w:val="24"/>
          <w:szCs w:val="24"/>
        </w:rPr>
        <w:t>. 51</w:t>
      </w:r>
      <w:r w:rsidR="009102AD">
        <w:rPr>
          <w:rFonts w:ascii="Garamond" w:hAnsi="Garamond"/>
          <w:sz w:val="24"/>
          <w:szCs w:val="24"/>
        </w:rPr>
        <w:t>–</w:t>
      </w:r>
      <w:r w:rsidR="00196965">
        <w:rPr>
          <w:rFonts w:ascii="Garamond" w:hAnsi="Garamond"/>
          <w:sz w:val="24"/>
          <w:szCs w:val="24"/>
        </w:rPr>
        <w:t>62</w:t>
      </w:r>
      <w:r w:rsidRPr="006B4F3E">
        <w:rPr>
          <w:rFonts w:ascii="Garamond" w:hAnsi="Garamond"/>
          <w:sz w:val="24"/>
          <w:szCs w:val="24"/>
        </w:rPr>
        <w:t>.</w:t>
      </w:r>
    </w:p>
    <w:p w14:paraId="743FAC2C" w14:textId="55D22BB5" w:rsidR="001E44D1" w:rsidRPr="006B4F3E" w:rsidRDefault="001E44D1" w:rsidP="001E44D1">
      <w:pPr>
        <w:pStyle w:val="Bibliography"/>
        <w:rPr>
          <w:rFonts w:ascii="Garamond" w:hAnsi="Garamond"/>
          <w:sz w:val="24"/>
          <w:szCs w:val="24"/>
        </w:rPr>
      </w:pPr>
      <w:r w:rsidRPr="006B4F3E">
        <w:rPr>
          <w:rFonts w:ascii="Garamond" w:hAnsi="Garamond"/>
          <w:sz w:val="24"/>
          <w:szCs w:val="24"/>
        </w:rPr>
        <w:t xml:space="preserve">Mader, L., 2001. Evaluating the Effects: A Contribution to the Quality of Legislation. Statute Law Rev. 22, 119–131. </w:t>
      </w:r>
    </w:p>
    <w:p w14:paraId="49BD0A85" w14:textId="3BCB0E23" w:rsidR="001E44D1" w:rsidRPr="006B4F3E" w:rsidRDefault="001E44D1" w:rsidP="001E44D1">
      <w:pPr>
        <w:pStyle w:val="Bibliography"/>
        <w:rPr>
          <w:rFonts w:ascii="Garamond" w:hAnsi="Garamond"/>
          <w:sz w:val="24"/>
          <w:szCs w:val="24"/>
        </w:rPr>
      </w:pPr>
      <w:r w:rsidRPr="006B4F3E">
        <w:rPr>
          <w:rFonts w:ascii="Garamond" w:hAnsi="Garamond"/>
          <w:sz w:val="24"/>
          <w:szCs w:val="24"/>
        </w:rPr>
        <w:t xml:space="preserve">Mader, L., 1996. Legislative </w:t>
      </w:r>
      <w:r w:rsidR="006A1B95">
        <w:rPr>
          <w:rFonts w:ascii="Garamond" w:hAnsi="Garamond"/>
          <w:sz w:val="24"/>
          <w:szCs w:val="24"/>
        </w:rPr>
        <w:t>P</w:t>
      </w:r>
      <w:r w:rsidRPr="006B4F3E">
        <w:rPr>
          <w:rFonts w:ascii="Garamond" w:hAnsi="Garamond"/>
          <w:sz w:val="24"/>
          <w:szCs w:val="24"/>
        </w:rPr>
        <w:t xml:space="preserve">rocedure and the </w:t>
      </w:r>
      <w:r w:rsidR="006A1B95">
        <w:rPr>
          <w:rFonts w:ascii="Garamond" w:hAnsi="Garamond"/>
          <w:sz w:val="24"/>
          <w:szCs w:val="24"/>
        </w:rPr>
        <w:t>Q</w:t>
      </w:r>
      <w:r w:rsidRPr="006B4F3E">
        <w:rPr>
          <w:rFonts w:ascii="Garamond" w:hAnsi="Garamond"/>
          <w:sz w:val="24"/>
          <w:szCs w:val="24"/>
        </w:rPr>
        <w:t xml:space="preserve">uality of </w:t>
      </w:r>
      <w:r w:rsidR="006A1B95">
        <w:rPr>
          <w:rFonts w:ascii="Garamond" w:hAnsi="Garamond"/>
          <w:sz w:val="24"/>
          <w:szCs w:val="24"/>
        </w:rPr>
        <w:t>W</w:t>
      </w:r>
      <w:r w:rsidRPr="006B4F3E">
        <w:rPr>
          <w:rFonts w:ascii="Garamond" w:hAnsi="Garamond"/>
          <w:sz w:val="24"/>
          <w:szCs w:val="24"/>
        </w:rPr>
        <w:t xml:space="preserve">ritten </w:t>
      </w:r>
      <w:r w:rsidR="006A1B95">
        <w:rPr>
          <w:rFonts w:ascii="Garamond" w:hAnsi="Garamond"/>
          <w:sz w:val="24"/>
          <w:szCs w:val="24"/>
        </w:rPr>
        <w:t>L</w:t>
      </w:r>
      <w:r w:rsidRPr="006B4F3E">
        <w:rPr>
          <w:rFonts w:ascii="Garamond" w:hAnsi="Garamond"/>
          <w:sz w:val="24"/>
          <w:szCs w:val="24"/>
        </w:rPr>
        <w:t>aw, in</w:t>
      </w:r>
      <w:r w:rsidR="006A1B95">
        <w:rPr>
          <w:rFonts w:ascii="Garamond" w:hAnsi="Garamond"/>
          <w:sz w:val="24"/>
          <w:szCs w:val="24"/>
        </w:rPr>
        <w:t xml:space="preserve"> U. Karpen and P. Delnoy, eds.</w:t>
      </w:r>
      <w:r w:rsidRPr="006B4F3E">
        <w:rPr>
          <w:rFonts w:ascii="Garamond" w:hAnsi="Garamond"/>
          <w:sz w:val="24"/>
          <w:szCs w:val="24"/>
        </w:rPr>
        <w:t xml:space="preserve"> Contributions to the Methodology of Written Law. Nomos, Baden-Baden, p</w:t>
      </w:r>
      <w:r w:rsidR="009102AD">
        <w:rPr>
          <w:rFonts w:ascii="Garamond" w:hAnsi="Garamond"/>
          <w:sz w:val="24"/>
          <w:szCs w:val="24"/>
        </w:rPr>
        <w:t>p</w:t>
      </w:r>
      <w:r w:rsidRPr="006B4F3E">
        <w:rPr>
          <w:rFonts w:ascii="Garamond" w:hAnsi="Garamond"/>
          <w:sz w:val="24"/>
          <w:szCs w:val="24"/>
        </w:rPr>
        <w:t>. 62</w:t>
      </w:r>
      <w:r w:rsidR="009102AD">
        <w:rPr>
          <w:rFonts w:ascii="Garamond" w:hAnsi="Garamond"/>
          <w:sz w:val="24"/>
          <w:szCs w:val="24"/>
        </w:rPr>
        <w:t>–</w:t>
      </w:r>
      <w:r w:rsidR="00196965">
        <w:rPr>
          <w:rFonts w:ascii="Garamond" w:hAnsi="Garamond"/>
          <w:sz w:val="24"/>
          <w:szCs w:val="24"/>
        </w:rPr>
        <w:t>74</w:t>
      </w:r>
      <w:r w:rsidRPr="006B4F3E">
        <w:rPr>
          <w:rFonts w:ascii="Garamond" w:hAnsi="Garamond"/>
          <w:sz w:val="24"/>
          <w:szCs w:val="24"/>
        </w:rPr>
        <w:t>.</w:t>
      </w:r>
    </w:p>
    <w:p w14:paraId="744977F0" w14:textId="77777777" w:rsidR="001E44D1" w:rsidRPr="006B4F3E" w:rsidRDefault="001E44D1" w:rsidP="001E44D1">
      <w:pPr>
        <w:pStyle w:val="Bibliography"/>
        <w:rPr>
          <w:rFonts w:ascii="Garamond" w:hAnsi="Garamond"/>
          <w:sz w:val="24"/>
          <w:szCs w:val="24"/>
        </w:rPr>
      </w:pPr>
      <w:r w:rsidRPr="006B4F3E">
        <w:rPr>
          <w:rFonts w:ascii="Garamond" w:hAnsi="Garamond"/>
          <w:sz w:val="24"/>
          <w:szCs w:val="24"/>
        </w:rPr>
        <w:t>Miller, J., 1985. The FTC and Voluntary Standards: Maximizing the Net Benefits of Self-Regulation. Cato J. 897–903.</w:t>
      </w:r>
    </w:p>
    <w:p w14:paraId="418B3A68" w14:textId="77777777" w:rsidR="001E44D1" w:rsidRPr="006B4F3E" w:rsidRDefault="001E44D1" w:rsidP="001E44D1">
      <w:pPr>
        <w:pStyle w:val="Bibliography"/>
        <w:rPr>
          <w:rFonts w:ascii="Garamond" w:hAnsi="Garamond"/>
          <w:sz w:val="24"/>
          <w:szCs w:val="24"/>
        </w:rPr>
      </w:pPr>
      <w:r w:rsidRPr="006B4F3E">
        <w:rPr>
          <w:rFonts w:ascii="Garamond" w:hAnsi="Garamond"/>
          <w:sz w:val="24"/>
          <w:szCs w:val="24"/>
        </w:rPr>
        <w:t>Mossman, M.J., 1995. Use of Non-Discriminatory Language in Law. Int. Leg. Pract. 20, 8–14.</w:t>
      </w:r>
    </w:p>
    <w:p w14:paraId="154C8A51" w14:textId="6DCF4F6E" w:rsidR="001E44D1" w:rsidRPr="006B4F3E" w:rsidRDefault="001E44D1" w:rsidP="001E44D1">
      <w:pPr>
        <w:pStyle w:val="Bibliography"/>
        <w:rPr>
          <w:rFonts w:ascii="Garamond" w:hAnsi="Garamond"/>
          <w:sz w:val="24"/>
          <w:szCs w:val="24"/>
        </w:rPr>
      </w:pPr>
      <w:r w:rsidRPr="006B4F3E">
        <w:rPr>
          <w:rFonts w:ascii="Garamond" w:hAnsi="Garamond"/>
          <w:sz w:val="24"/>
          <w:szCs w:val="24"/>
        </w:rPr>
        <w:t xml:space="preserve">Mousmouti, M., 2012. Operationalising Quality of Legislation through the Effectiveness Test. Legisprudence 6, 191–205. </w:t>
      </w:r>
    </w:p>
    <w:p w14:paraId="3462F36F" w14:textId="77777777" w:rsidR="001E44D1" w:rsidRPr="006B4F3E" w:rsidRDefault="001E44D1" w:rsidP="001E44D1">
      <w:pPr>
        <w:pStyle w:val="Bibliography"/>
        <w:rPr>
          <w:rFonts w:ascii="Garamond" w:hAnsi="Garamond"/>
          <w:sz w:val="24"/>
          <w:szCs w:val="24"/>
        </w:rPr>
      </w:pPr>
      <w:r w:rsidRPr="006B4F3E">
        <w:rPr>
          <w:rFonts w:ascii="Garamond" w:hAnsi="Garamond"/>
          <w:sz w:val="24"/>
          <w:szCs w:val="24"/>
        </w:rPr>
        <w:t>Müller, G., Uhlmann, F., 2013. Elemente einer Rechtssetzungslehre. Asculthess, Zurich.</w:t>
      </w:r>
    </w:p>
    <w:p w14:paraId="4D1DA133" w14:textId="57BF6961" w:rsidR="003F3991" w:rsidRPr="00126C08" w:rsidRDefault="003F3991" w:rsidP="001E44D1">
      <w:pPr>
        <w:pStyle w:val="Bibliography"/>
        <w:rPr>
          <w:rFonts w:ascii="Garamond" w:hAnsi="Garamond"/>
          <w:sz w:val="24"/>
          <w:szCs w:val="24"/>
        </w:rPr>
      </w:pPr>
      <w:r w:rsidRPr="006B4F3E">
        <w:rPr>
          <w:rFonts w:ascii="Garamond" w:hAnsi="Garamond"/>
          <w:sz w:val="24"/>
          <w:szCs w:val="24"/>
        </w:rPr>
        <w:t>National Audit Office</w:t>
      </w:r>
      <w:r w:rsidR="00A3016B" w:rsidRPr="006B4F3E">
        <w:rPr>
          <w:rFonts w:ascii="Garamond" w:hAnsi="Garamond"/>
          <w:sz w:val="24"/>
          <w:szCs w:val="24"/>
        </w:rPr>
        <w:t xml:space="preserve"> and </w:t>
      </w:r>
      <w:r w:rsidR="00D82F00" w:rsidRPr="006B4F3E">
        <w:rPr>
          <w:rFonts w:ascii="Garamond" w:hAnsi="Garamond"/>
          <w:sz w:val="24"/>
          <w:szCs w:val="24"/>
        </w:rPr>
        <w:t>Department for Business</w:t>
      </w:r>
      <w:r w:rsidR="00A3016B" w:rsidRPr="006B4F3E">
        <w:rPr>
          <w:rFonts w:ascii="Garamond" w:hAnsi="Garamond"/>
          <w:sz w:val="24"/>
          <w:szCs w:val="24"/>
        </w:rPr>
        <w:t xml:space="preserve">, </w:t>
      </w:r>
      <w:r w:rsidR="00D82F00" w:rsidRPr="006B4F3E">
        <w:rPr>
          <w:rFonts w:ascii="Garamond" w:hAnsi="Garamond"/>
          <w:sz w:val="24"/>
          <w:szCs w:val="24"/>
        </w:rPr>
        <w:t>Innovation and Skills, 2011.</w:t>
      </w:r>
      <w:r w:rsidR="00D82F00" w:rsidRPr="00B67C0A">
        <w:rPr>
          <w:rFonts w:ascii="Garamond" w:hAnsi="Garamond"/>
          <w:sz w:val="24"/>
          <w:szCs w:val="24"/>
        </w:rPr>
        <w:t xml:space="preserve"> </w:t>
      </w:r>
      <w:r w:rsidRPr="00B67C0A">
        <w:rPr>
          <w:rFonts w:ascii="Garamond" w:hAnsi="Garamond"/>
          <w:sz w:val="24"/>
          <w:szCs w:val="24"/>
        </w:rPr>
        <w:t xml:space="preserve">Delivering </w:t>
      </w:r>
      <w:r w:rsidR="00D82F00" w:rsidRPr="006906E5">
        <w:rPr>
          <w:rFonts w:ascii="Garamond" w:hAnsi="Garamond"/>
          <w:sz w:val="24"/>
          <w:szCs w:val="24"/>
        </w:rPr>
        <w:t>Regulatory Reform. Stationer</w:t>
      </w:r>
      <w:r w:rsidR="00D82F00" w:rsidRPr="00126C08">
        <w:rPr>
          <w:rFonts w:ascii="Garamond" w:hAnsi="Garamond"/>
          <w:sz w:val="24"/>
          <w:szCs w:val="24"/>
        </w:rPr>
        <w:t xml:space="preserve">y Office. London.  </w:t>
      </w:r>
      <w:r w:rsidR="008A699F" w:rsidRPr="00126C08">
        <w:rPr>
          <w:rFonts w:ascii="Garamond" w:hAnsi="Garamond"/>
          <w:sz w:val="24"/>
          <w:szCs w:val="24"/>
        </w:rPr>
        <w:t>https://www.nao.org.uk/wp-content/uploads/2011/02/1011758.pdf</w:t>
      </w:r>
    </w:p>
    <w:p w14:paraId="03AE51BF" w14:textId="7F3AE014" w:rsidR="00140C19" w:rsidRPr="006A1B95" w:rsidRDefault="00140C19" w:rsidP="005A3290">
      <w:pPr>
        <w:spacing w:after="0"/>
        <w:ind w:left="709" w:hanging="709"/>
        <w:rPr>
          <w:rFonts w:ascii="Garamond" w:hAnsi="Garamond"/>
          <w:sz w:val="24"/>
          <w:szCs w:val="24"/>
        </w:rPr>
      </w:pPr>
      <w:r w:rsidRPr="006A1B95">
        <w:rPr>
          <w:rFonts w:ascii="Garamond" w:hAnsi="Garamond"/>
          <w:sz w:val="24"/>
          <w:szCs w:val="24"/>
        </w:rPr>
        <w:lastRenderedPageBreak/>
        <w:t>OECD, 2002</w:t>
      </w:r>
      <w:r w:rsidR="006A1B95">
        <w:rPr>
          <w:rFonts w:ascii="Garamond" w:hAnsi="Garamond"/>
          <w:sz w:val="24"/>
          <w:szCs w:val="24"/>
        </w:rPr>
        <w:t>a</w:t>
      </w:r>
      <w:r w:rsidRPr="006A1B95">
        <w:rPr>
          <w:rFonts w:ascii="Garamond" w:hAnsi="Garamond"/>
          <w:sz w:val="24"/>
          <w:szCs w:val="24"/>
        </w:rPr>
        <w:t xml:space="preserve">. Alternatives to </w:t>
      </w:r>
      <w:r w:rsidR="006A1B95">
        <w:rPr>
          <w:rFonts w:ascii="Garamond" w:hAnsi="Garamond"/>
          <w:sz w:val="24"/>
          <w:szCs w:val="24"/>
        </w:rPr>
        <w:t>T</w:t>
      </w:r>
      <w:r w:rsidRPr="006A1B95">
        <w:rPr>
          <w:rFonts w:ascii="Garamond" w:hAnsi="Garamond"/>
          <w:sz w:val="24"/>
          <w:szCs w:val="24"/>
        </w:rPr>
        <w:t xml:space="preserve">raditional </w:t>
      </w:r>
      <w:r w:rsidR="006A1B95">
        <w:rPr>
          <w:rFonts w:ascii="Garamond" w:hAnsi="Garamond"/>
          <w:sz w:val="24"/>
          <w:szCs w:val="24"/>
        </w:rPr>
        <w:t>R</w:t>
      </w:r>
      <w:r w:rsidRPr="006A1B95">
        <w:rPr>
          <w:rFonts w:ascii="Garamond" w:hAnsi="Garamond"/>
          <w:sz w:val="24"/>
          <w:szCs w:val="24"/>
        </w:rPr>
        <w:t>egulation</w:t>
      </w:r>
      <w:r w:rsidR="006A1B95">
        <w:rPr>
          <w:rFonts w:ascii="Garamond" w:hAnsi="Garamond"/>
          <w:sz w:val="24"/>
          <w:szCs w:val="24"/>
        </w:rPr>
        <w:t>.</w:t>
      </w:r>
      <w:r w:rsidRPr="006A1B95">
        <w:rPr>
          <w:rFonts w:ascii="Garamond" w:hAnsi="Garamond"/>
          <w:sz w:val="24"/>
          <w:szCs w:val="24"/>
        </w:rPr>
        <w:t xml:space="preserve"> </w:t>
      </w:r>
      <w:r w:rsidR="00E12532" w:rsidRPr="006A1B95">
        <w:rPr>
          <w:rFonts w:ascii="Garamond" w:hAnsi="Garamond"/>
          <w:sz w:val="24"/>
          <w:szCs w:val="24"/>
        </w:rPr>
        <w:t xml:space="preserve">https://www.oecd.org/gov/regulatory-policy/42245468.pdf </w:t>
      </w:r>
    </w:p>
    <w:p w14:paraId="0944901B" w14:textId="4C70AF9E" w:rsidR="00140C19" w:rsidRPr="006A1B95" w:rsidRDefault="00140C19" w:rsidP="006A1B95">
      <w:pPr>
        <w:pStyle w:val="FootnoteText"/>
        <w:ind w:left="567" w:hanging="567"/>
        <w:rPr>
          <w:rFonts w:ascii="Garamond" w:hAnsi="Garamond"/>
          <w:sz w:val="24"/>
          <w:szCs w:val="24"/>
        </w:rPr>
      </w:pPr>
      <w:r w:rsidRPr="006A1B95">
        <w:rPr>
          <w:rFonts w:ascii="Garamond" w:hAnsi="Garamond"/>
          <w:sz w:val="24"/>
          <w:szCs w:val="24"/>
        </w:rPr>
        <w:t>OECD, 2002</w:t>
      </w:r>
      <w:r w:rsidR="006A1B95">
        <w:rPr>
          <w:rFonts w:ascii="Garamond" w:hAnsi="Garamond"/>
          <w:sz w:val="24"/>
          <w:szCs w:val="24"/>
        </w:rPr>
        <w:t>b</w:t>
      </w:r>
      <w:r w:rsidRPr="006A1B95">
        <w:rPr>
          <w:rFonts w:ascii="Garamond" w:hAnsi="Garamond"/>
          <w:sz w:val="24"/>
          <w:szCs w:val="24"/>
        </w:rPr>
        <w:t xml:space="preserve">. </w:t>
      </w:r>
      <w:r w:rsidRPr="006A1B95">
        <w:rPr>
          <w:rFonts w:ascii="Garamond" w:hAnsi="Garamond"/>
          <w:iCs/>
          <w:sz w:val="24"/>
          <w:szCs w:val="24"/>
        </w:rPr>
        <w:t xml:space="preserve">Regulatory Policies in OECD Countries: From Interventionism to Regulatory Governance. </w:t>
      </w:r>
      <w:r w:rsidR="00F21690" w:rsidRPr="006A1B95">
        <w:rPr>
          <w:rFonts w:ascii="Garamond" w:hAnsi="Garamond"/>
          <w:iCs/>
          <w:sz w:val="24"/>
          <w:szCs w:val="24"/>
        </w:rPr>
        <w:t>OECD</w:t>
      </w:r>
      <w:r w:rsidR="006A1B95">
        <w:rPr>
          <w:rFonts w:ascii="Garamond" w:hAnsi="Garamond"/>
          <w:iCs/>
          <w:sz w:val="24"/>
          <w:szCs w:val="24"/>
        </w:rPr>
        <w:t>, Paris</w:t>
      </w:r>
      <w:r w:rsidRPr="006A1B95">
        <w:rPr>
          <w:rFonts w:ascii="Garamond" w:hAnsi="Garamond"/>
          <w:sz w:val="24"/>
          <w:szCs w:val="24"/>
        </w:rPr>
        <w:t>.</w:t>
      </w:r>
      <w:r w:rsidR="00E12532" w:rsidRPr="006A1B95">
        <w:rPr>
          <w:rFonts w:ascii="Garamond" w:hAnsi="Garamond"/>
          <w:sz w:val="24"/>
          <w:szCs w:val="24"/>
        </w:rPr>
        <w:t xml:space="preserve"> http://regulatoryreform.com/wp-content/uploads/2015/02/OECD-Regulatory-Policies-in-OECD-Countries-2002.pdf</w:t>
      </w:r>
    </w:p>
    <w:p w14:paraId="379783E5" w14:textId="68FDB3B4" w:rsidR="0099386F" w:rsidRPr="006A1B95" w:rsidRDefault="00C75525" w:rsidP="005A3290">
      <w:pPr>
        <w:pStyle w:val="FootnoteText"/>
        <w:ind w:left="709" w:hanging="709"/>
        <w:rPr>
          <w:rFonts w:ascii="Garamond" w:hAnsi="Garamond"/>
          <w:sz w:val="24"/>
          <w:szCs w:val="24"/>
        </w:rPr>
      </w:pPr>
      <w:r w:rsidRPr="006A1B95">
        <w:rPr>
          <w:rFonts w:ascii="Garamond" w:hAnsi="Garamond"/>
          <w:sz w:val="24"/>
          <w:szCs w:val="24"/>
        </w:rPr>
        <w:t xml:space="preserve">Office of the Leader of the House of Commons, </w:t>
      </w:r>
      <w:r w:rsidR="008205A7" w:rsidRPr="006A1B95">
        <w:rPr>
          <w:rFonts w:ascii="Garamond" w:hAnsi="Garamond"/>
          <w:sz w:val="24"/>
          <w:szCs w:val="24"/>
        </w:rPr>
        <w:t xml:space="preserve">2008. </w:t>
      </w:r>
      <w:r w:rsidRPr="005A3290">
        <w:rPr>
          <w:rFonts w:ascii="Garamond" w:hAnsi="Garamond"/>
          <w:sz w:val="24"/>
          <w:szCs w:val="24"/>
        </w:rPr>
        <w:t>Post-legislative Scrutiny – The Government</w:t>
      </w:r>
      <w:r w:rsidR="008205A7" w:rsidRPr="005A3290">
        <w:rPr>
          <w:rFonts w:ascii="Garamond" w:hAnsi="Garamond"/>
          <w:sz w:val="24"/>
          <w:szCs w:val="24"/>
        </w:rPr>
        <w:t>'</w:t>
      </w:r>
      <w:r w:rsidRPr="005A3290">
        <w:rPr>
          <w:rFonts w:ascii="Garamond" w:hAnsi="Garamond"/>
          <w:sz w:val="24"/>
          <w:szCs w:val="24"/>
        </w:rPr>
        <w:t>s Approach</w:t>
      </w:r>
      <w:r w:rsidRPr="006A1B95">
        <w:rPr>
          <w:rFonts w:ascii="Garamond" w:hAnsi="Garamond"/>
          <w:sz w:val="24"/>
          <w:szCs w:val="24"/>
        </w:rPr>
        <w:t xml:space="preserve">, </w:t>
      </w:r>
      <w:r w:rsidR="008205A7" w:rsidRPr="006A1B95">
        <w:rPr>
          <w:rFonts w:ascii="Garamond" w:hAnsi="Garamond"/>
          <w:sz w:val="24"/>
          <w:szCs w:val="24"/>
        </w:rPr>
        <w:t>Cm 7320</w:t>
      </w:r>
      <w:r w:rsidR="00070FAC" w:rsidRPr="006A1B95">
        <w:rPr>
          <w:rFonts w:ascii="Garamond" w:hAnsi="Garamond"/>
          <w:sz w:val="24"/>
          <w:szCs w:val="24"/>
        </w:rPr>
        <w:t>. https://assets.publishing.service.gov.uk/government/uploads/system/uploads/attachment_data/file/228516/7320.pdf</w:t>
      </w:r>
    </w:p>
    <w:p w14:paraId="206C6CDE" w14:textId="7A995670" w:rsidR="000F572C" w:rsidRPr="00BD0BB9" w:rsidRDefault="000F572C" w:rsidP="00BD0BB9">
      <w:pPr>
        <w:pStyle w:val="FootnoteText"/>
        <w:ind w:left="709" w:hanging="709"/>
        <w:rPr>
          <w:rFonts w:ascii="Garamond" w:hAnsi="Garamond"/>
          <w:sz w:val="24"/>
          <w:szCs w:val="24"/>
        </w:rPr>
      </w:pPr>
      <w:r w:rsidRPr="006A1B95">
        <w:rPr>
          <w:rFonts w:ascii="Garamond" w:hAnsi="Garamond"/>
          <w:sz w:val="24"/>
          <w:szCs w:val="24"/>
        </w:rPr>
        <w:t xml:space="preserve">Office of the Parliamentary Counsel, 2014. Drafting Guidance. Archived at: </w:t>
      </w:r>
      <w:hyperlink r:id="rId13" w:history="1">
        <w:r w:rsidRPr="00BD0BB9">
          <w:rPr>
            <w:rStyle w:val="Hyperlink"/>
            <w:rFonts w:ascii="Garamond" w:hAnsi="Garamond"/>
            <w:sz w:val="24"/>
            <w:szCs w:val="24"/>
          </w:rPr>
          <w:t>https://webarchive.nationalarchives.gov.uk/20141211024015/https://www.gov.uk/government/publications/drafting-bills-for-parliament</w:t>
        </w:r>
      </w:hyperlink>
    </w:p>
    <w:p w14:paraId="3BDD78B3" w14:textId="5316C5A1" w:rsidR="003D193A" w:rsidRDefault="003D193A" w:rsidP="001E44D1">
      <w:pPr>
        <w:pStyle w:val="Bibliography"/>
        <w:rPr>
          <w:rFonts w:ascii="Garamond" w:hAnsi="Garamond"/>
          <w:sz w:val="24"/>
          <w:szCs w:val="24"/>
        </w:rPr>
      </w:pPr>
      <w:r w:rsidRPr="006A1B95">
        <w:rPr>
          <w:rFonts w:ascii="Garamond" w:hAnsi="Garamond"/>
          <w:sz w:val="24"/>
          <w:szCs w:val="24"/>
        </w:rPr>
        <w:t>Office of the Parliamentary Counsel, 201</w:t>
      </w:r>
      <w:r>
        <w:rPr>
          <w:rFonts w:ascii="Garamond" w:hAnsi="Garamond"/>
          <w:sz w:val="24"/>
          <w:szCs w:val="24"/>
        </w:rPr>
        <w:t>1</w:t>
      </w:r>
      <w:r w:rsidRPr="006A1B95">
        <w:rPr>
          <w:rFonts w:ascii="Garamond" w:hAnsi="Garamond"/>
          <w:sz w:val="24"/>
          <w:szCs w:val="24"/>
        </w:rPr>
        <w:t xml:space="preserve">. Working with </w:t>
      </w:r>
      <w:r>
        <w:rPr>
          <w:rFonts w:ascii="Garamond" w:hAnsi="Garamond"/>
          <w:sz w:val="24"/>
          <w:szCs w:val="24"/>
        </w:rPr>
        <w:t>Parliamentary Counsel</w:t>
      </w:r>
      <w:r w:rsidRPr="006A1B95">
        <w:rPr>
          <w:rFonts w:ascii="Garamond" w:hAnsi="Garamond"/>
          <w:sz w:val="24"/>
          <w:szCs w:val="24"/>
        </w:rPr>
        <w:t>.</w:t>
      </w:r>
      <w:r>
        <w:rPr>
          <w:rFonts w:ascii="Garamond" w:hAnsi="Garamond"/>
          <w:sz w:val="24"/>
          <w:szCs w:val="24"/>
        </w:rPr>
        <w:t xml:space="preserve"> </w:t>
      </w:r>
      <w:r w:rsidRPr="00CF5BF6">
        <w:rPr>
          <w:rFonts w:ascii="Garamond" w:hAnsi="Garamond"/>
          <w:sz w:val="24"/>
          <w:szCs w:val="24"/>
        </w:rPr>
        <w:t>https://assets.publishing.service.gov.uk/government/uploads/system/uploads/attachment_data/file/62668/WWPC_6_Dec_2011.pdf</w:t>
      </w:r>
      <w:r w:rsidRPr="006A1B95">
        <w:rPr>
          <w:rFonts w:ascii="Garamond" w:hAnsi="Garamond"/>
          <w:sz w:val="24"/>
          <w:szCs w:val="24"/>
        </w:rPr>
        <w:t xml:space="preserve"> </w:t>
      </w:r>
    </w:p>
    <w:p w14:paraId="5321B108" w14:textId="6248448A" w:rsidR="001E44D1" w:rsidRPr="00BD0BB9" w:rsidRDefault="001E44D1" w:rsidP="001E44D1">
      <w:pPr>
        <w:pStyle w:val="Bibliography"/>
        <w:rPr>
          <w:rFonts w:ascii="Garamond" w:hAnsi="Garamond"/>
          <w:sz w:val="24"/>
          <w:szCs w:val="24"/>
        </w:rPr>
      </w:pPr>
      <w:r w:rsidRPr="00BD0BB9">
        <w:rPr>
          <w:rFonts w:ascii="Garamond" w:hAnsi="Garamond"/>
          <w:sz w:val="24"/>
          <w:szCs w:val="24"/>
        </w:rPr>
        <w:t>Petersson, S., 1999. Gender Neutral Drafting: Recent Commonwealth Developments. Statute Law Rev. 20, 35–65.</w:t>
      </w:r>
      <w:r w:rsidR="009102AD" w:rsidRPr="00BD0BB9">
        <w:rPr>
          <w:rFonts w:ascii="Garamond" w:hAnsi="Garamond"/>
          <w:sz w:val="24"/>
          <w:szCs w:val="24"/>
        </w:rPr>
        <w:t xml:space="preserve"> </w:t>
      </w:r>
    </w:p>
    <w:p w14:paraId="4E91533A" w14:textId="6B6C49E7" w:rsidR="001E44D1" w:rsidRPr="00BD0BB9" w:rsidRDefault="001E44D1" w:rsidP="001E44D1">
      <w:pPr>
        <w:pStyle w:val="Bibliography"/>
        <w:rPr>
          <w:rFonts w:ascii="Garamond" w:hAnsi="Garamond"/>
          <w:sz w:val="24"/>
          <w:szCs w:val="24"/>
        </w:rPr>
      </w:pPr>
      <w:r w:rsidRPr="00BD0BB9">
        <w:rPr>
          <w:rFonts w:ascii="Garamond" w:hAnsi="Garamond"/>
          <w:sz w:val="24"/>
          <w:szCs w:val="24"/>
        </w:rPr>
        <w:t xml:space="preserve">Petersson, S., 1998. Gender Neutral Drafting: Historical Perspective. Statute Law Rev. 19, 93–112. </w:t>
      </w:r>
    </w:p>
    <w:p w14:paraId="3832B150" w14:textId="2BA89BD0" w:rsidR="001E44D1" w:rsidRPr="00BD0BB9" w:rsidRDefault="001E44D1" w:rsidP="001E44D1">
      <w:pPr>
        <w:pStyle w:val="Bibliography"/>
        <w:rPr>
          <w:rFonts w:ascii="Garamond" w:hAnsi="Garamond"/>
          <w:sz w:val="24"/>
          <w:szCs w:val="24"/>
        </w:rPr>
      </w:pPr>
      <w:r w:rsidRPr="00CF5BF6">
        <w:rPr>
          <w:rFonts w:ascii="Garamond" w:hAnsi="Garamond"/>
          <w:sz w:val="24"/>
          <w:szCs w:val="24"/>
        </w:rPr>
        <w:t>Pi, G., Schmolka, V., 2000. A Report on Results of Usability Testing Research on Plain Language Draft Sections of the Employment Insurance Act: A Report to Department of Justice Canada and Human Resources Development Canada.</w:t>
      </w:r>
      <w:r w:rsidR="00BD0BB9">
        <w:rPr>
          <w:rFonts w:ascii="Garamond" w:hAnsi="Garamond"/>
          <w:sz w:val="24"/>
          <w:szCs w:val="24"/>
        </w:rPr>
        <w:t xml:space="preserve"> </w:t>
      </w:r>
      <w:r w:rsidR="00BD0BB9" w:rsidRPr="00BD0BB9">
        <w:rPr>
          <w:rFonts w:ascii="Garamond" w:hAnsi="Garamond"/>
          <w:sz w:val="24"/>
          <w:szCs w:val="24"/>
        </w:rPr>
        <w:t>https://davidberman.com/wp-content/uploads/glpi-english.pdf</w:t>
      </w:r>
    </w:p>
    <w:p w14:paraId="0BC90A5B" w14:textId="5B5AB95A" w:rsidR="001E44D1" w:rsidRPr="00BD0BB9" w:rsidRDefault="001E44D1" w:rsidP="001E44D1">
      <w:pPr>
        <w:pStyle w:val="Bibliography"/>
        <w:rPr>
          <w:rFonts w:ascii="Garamond" w:hAnsi="Garamond"/>
          <w:sz w:val="24"/>
          <w:szCs w:val="24"/>
        </w:rPr>
      </w:pPr>
      <w:r w:rsidRPr="00CF5BF6">
        <w:rPr>
          <w:rFonts w:ascii="Garamond" w:hAnsi="Garamond"/>
          <w:sz w:val="24"/>
          <w:szCs w:val="24"/>
        </w:rPr>
        <w:t>Schmolka, V., 1995. Consumer Fireworks Regulations: Usability Testing, TR1195-2e. Department of Justice</w:t>
      </w:r>
      <w:r w:rsidR="00BD0BB9">
        <w:rPr>
          <w:rFonts w:ascii="Garamond" w:hAnsi="Garamond"/>
          <w:sz w:val="24"/>
          <w:szCs w:val="24"/>
        </w:rPr>
        <w:t xml:space="preserve"> Canada</w:t>
      </w:r>
      <w:r w:rsidRPr="00BD0BB9">
        <w:rPr>
          <w:rFonts w:ascii="Garamond" w:hAnsi="Garamond"/>
          <w:sz w:val="24"/>
          <w:szCs w:val="24"/>
        </w:rPr>
        <w:t>.</w:t>
      </w:r>
    </w:p>
    <w:p w14:paraId="3A9EF2B1" w14:textId="7E6E4ABB" w:rsidR="001E44D1" w:rsidRPr="00BD0BB9" w:rsidRDefault="001E44D1" w:rsidP="001E44D1">
      <w:pPr>
        <w:pStyle w:val="Bibliography"/>
        <w:rPr>
          <w:rFonts w:ascii="Garamond" w:hAnsi="Garamond"/>
          <w:sz w:val="24"/>
          <w:szCs w:val="24"/>
        </w:rPr>
      </w:pPr>
      <w:r w:rsidRPr="00BD0BB9">
        <w:rPr>
          <w:rFonts w:ascii="Garamond" w:hAnsi="Garamond"/>
          <w:sz w:val="24"/>
          <w:szCs w:val="24"/>
        </w:rPr>
        <w:t>Schweikart, D., 1990. Gender Neutral Pronoun Redefined. Women</w:t>
      </w:r>
      <w:r w:rsidR="00BD0BB9">
        <w:rPr>
          <w:rFonts w:ascii="Garamond" w:hAnsi="Garamond"/>
          <w:sz w:val="24"/>
          <w:szCs w:val="24"/>
        </w:rPr>
        <w:t>'</w:t>
      </w:r>
      <w:r w:rsidRPr="00BD0BB9">
        <w:rPr>
          <w:rFonts w:ascii="Garamond" w:hAnsi="Garamond"/>
          <w:sz w:val="24"/>
          <w:szCs w:val="24"/>
        </w:rPr>
        <w:t xml:space="preserve">s Rights Law Report. 20, </w:t>
      </w:r>
      <w:r w:rsidR="00790AC8">
        <w:rPr>
          <w:rFonts w:ascii="Garamond" w:hAnsi="Garamond"/>
          <w:sz w:val="24"/>
          <w:szCs w:val="24"/>
        </w:rPr>
        <w:t>1–9</w:t>
      </w:r>
      <w:r w:rsidRPr="00BD0BB9">
        <w:rPr>
          <w:rFonts w:ascii="Garamond" w:hAnsi="Garamond"/>
          <w:sz w:val="24"/>
          <w:szCs w:val="24"/>
        </w:rPr>
        <w:t>.</w:t>
      </w:r>
    </w:p>
    <w:p w14:paraId="7ED13B86" w14:textId="77777777" w:rsidR="001E44D1" w:rsidRPr="009E17D5" w:rsidRDefault="001E44D1" w:rsidP="001E44D1">
      <w:pPr>
        <w:pStyle w:val="Bibliography"/>
        <w:rPr>
          <w:rFonts w:ascii="Garamond" w:hAnsi="Garamond"/>
          <w:sz w:val="24"/>
          <w:szCs w:val="24"/>
        </w:rPr>
      </w:pPr>
      <w:r w:rsidRPr="00CF5BF6">
        <w:rPr>
          <w:rFonts w:ascii="Garamond" w:hAnsi="Garamond"/>
          <w:sz w:val="24"/>
          <w:szCs w:val="24"/>
        </w:rPr>
        <w:t>Snyder, F., 1993. The Effectiveness of European Community Law: Institutions, Processes, Tools and Techniques. Mod. Law Rev. 56, 19–54. https://doi.org/10.1111/j.1468-2230.1993.tb02852.x</w:t>
      </w:r>
    </w:p>
    <w:p w14:paraId="3BE591F8" w14:textId="77777777" w:rsidR="001E44D1" w:rsidRPr="009E17D5" w:rsidRDefault="001E44D1" w:rsidP="001E44D1">
      <w:pPr>
        <w:pStyle w:val="Bibliography"/>
        <w:rPr>
          <w:rFonts w:ascii="Garamond" w:hAnsi="Garamond"/>
          <w:sz w:val="24"/>
          <w:szCs w:val="24"/>
        </w:rPr>
      </w:pPr>
      <w:r w:rsidRPr="009E17D5">
        <w:rPr>
          <w:rFonts w:ascii="Garamond" w:hAnsi="Garamond"/>
          <w:sz w:val="24"/>
          <w:szCs w:val="24"/>
        </w:rPr>
        <w:t>Snyder, F., 1990. New Directions in European Community Law. Weidenfeld and Nicolson, London.</w:t>
      </w:r>
    </w:p>
    <w:p w14:paraId="711DAE88" w14:textId="77777777" w:rsidR="001E44D1" w:rsidRPr="005A3290" w:rsidRDefault="001E44D1" w:rsidP="001E44D1">
      <w:pPr>
        <w:pStyle w:val="Bibliography"/>
        <w:rPr>
          <w:rFonts w:ascii="Garamond" w:hAnsi="Garamond"/>
          <w:sz w:val="24"/>
          <w:szCs w:val="24"/>
        </w:rPr>
      </w:pPr>
      <w:r w:rsidRPr="005A3290">
        <w:rPr>
          <w:rFonts w:ascii="Garamond" w:hAnsi="Garamond"/>
          <w:sz w:val="24"/>
          <w:szCs w:val="24"/>
        </w:rPr>
        <w:t>Statsky, W., 1984. Legislative Analysis and Drafting. West Publishing Company, St Paul MN.</w:t>
      </w:r>
    </w:p>
    <w:p w14:paraId="1ABD96A3" w14:textId="138B6E2A" w:rsidR="001E44D1" w:rsidRPr="0071096D" w:rsidRDefault="001E44D1" w:rsidP="001E44D1">
      <w:pPr>
        <w:pStyle w:val="Bibliography"/>
        <w:rPr>
          <w:rFonts w:ascii="Garamond" w:hAnsi="Garamond"/>
          <w:sz w:val="24"/>
          <w:szCs w:val="24"/>
        </w:rPr>
      </w:pPr>
      <w:r w:rsidRPr="005A3290">
        <w:rPr>
          <w:rFonts w:ascii="Garamond" w:hAnsi="Garamond"/>
          <w:sz w:val="24"/>
          <w:szCs w:val="24"/>
        </w:rPr>
        <w:t>Stefanou, C., 2011. Legislative Drafting as a Form of Communication, in</w:t>
      </w:r>
      <w:r w:rsidR="00244270">
        <w:rPr>
          <w:rFonts w:ascii="Garamond" w:hAnsi="Garamond"/>
          <w:sz w:val="24"/>
          <w:szCs w:val="24"/>
        </w:rPr>
        <w:t xml:space="preserve"> </w:t>
      </w:r>
      <w:r w:rsidR="0071096D">
        <w:rPr>
          <w:rFonts w:ascii="Garamond" w:hAnsi="Garamond"/>
          <w:sz w:val="24"/>
          <w:szCs w:val="24"/>
        </w:rPr>
        <w:t>H. Xanthaki</w:t>
      </w:r>
      <w:r w:rsidR="00624116">
        <w:rPr>
          <w:rFonts w:ascii="Garamond" w:hAnsi="Garamond"/>
          <w:sz w:val="24"/>
          <w:szCs w:val="24"/>
        </w:rPr>
        <w:t>, ed.</w:t>
      </w:r>
      <w:r w:rsidRPr="00244270">
        <w:rPr>
          <w:rFonts w:ascii="Garamond" w:hAnsi="Garamond"/>
          <w:sz w:val="24"/>
          <w:szCs w:val="24"/>
        </w:rPr>
        <w:t xml:space="preserve"> Quality of Legislation Principles and Instruments. Nomos, Baden-Baden, pp. 308–320.</w:t>
      </w:r>
    </w:p>
    <w:p w14:paraId="7648AF2C" w14:textId="3BB8CF54" w:rsidR="001E44D1" w:rsidRPr="00D736BC" w:rsidRDefault="001E44D1" w:rsidP="001E44D1">
      <w:pPr>
        <w:pStyle w:val="Bibliography"/>
        <w:rPr>
          <w:rFonts w:ascii="Garamond" w:hAnsi="Garamond"/>
          <w:sz w:val="24"/>
          <w:szCs w:val="24"/>
        </w:rPr>
      </w:pPr>
      <w:r w:rsidRPr="00E65539">
        <w:rPr>
          <w:rFonts w:ascii="Garamond" w:hAnsi="Garamond"/>
          <w:sz w:val="24"/>
          <w:szCs w:val="24"/>
        </w:rPr>
        <w:t>Stefanou, C., 2008. Drafters, Drafting and the Policy Process, in</w:t>
      </w:r>
      <w:r w:rsidR="00E65539" w:rsidRPr="006B4F3E">
        <w:rPr>
          <w:rFonts w:ascii="Garamond" w:hAnsi="Garamond"/>
          <w:sz w:val="24"/>
          <w:szCs w:val="24"/>
        </w:rPr>
        <w:t xml:space="preserve"> S</w:t>
      </w:r>
      <w:r w:rsidR="00E65539">
        <w:rPr>
          <w:rFonts w:ascii="Garamond" w:hAnsi="Garamond"/>
          <w:sz w:val="24"/>
          <w:szCs w:val="24"/>
        </w:rPr>
        <w:t>. S</w:t>
      </w:r>
      <w:r w:rsidR="00E65539" w:rsidRPr="006B4F3E">
        <w:rPr>
          <w:rFonts w:ascii="Garamond" w:hAnsi="Garamond"/>
          <w:sz w:val="24"/>
          <w:szCs w:val="24"/>
        </w:rPr>
        <w:t xml:space="preserve">tefanou and </w:t>
      </w:r>
      <w:r w:rsidR="00E65539">
        <w:rPr>
          <w:rFonts w:ascii="Garamond" w:hAnsi="Garamond"/>
          <w:sz w:val="24"/>
          <w:szCs w:val="24"/>
        </w:rPr>
        <w:t xml:space="preserve">H. </w:t>
      </w:r>
      <w:r w:rsidR="00E65539" w:rsidRPr="006B4F3E">
        <w:rPr>
          <w:rFonts w:ascii="Garamond" w:hAnsi="Garamond"/>
          <w:sz w:val="24"/>
          <w:szCs w:val="24"/>
        </w:rPr>
        <w:t>Xanthaki, eds.</w:t>
      </w:r>
      <w:r w:rsidR="00E65539" w:rsidRPr="00C33F60">
        <w:rPr>
          <w:rFonts w:ascii="Garamond" w:hAnsi="Garamond"/>
          <w:sz w:val="24"/>
          <w:szCs w:val="24"/>
        </w:rPr>
        <w:t xml:space="preserve"> Drafting Legislation: A Modern Approach. Ashgate, Aldershot, </w:t>
      </w:r>
      <w:r w:rsidRPr="0087597B">
        <w:rPr>
          <w:rFonts w:ascii="Garamond" w:hAnsi="Garamond"/>
          <w:sz w:val="24"/>
          <w:szCs w:val="24"/>
        </w:rPr>
        <w:t>p</w:t>
      </w:r>
      <w:r w:rsidR="00D736BC">
        <w:rPr>
          <w:rFonts w:ascii="Garamond" w:hAnsi="Garamond"/>
          <w:sz w:val="24"/>
          <w:szCs w:val="24"/>
        </w:rPr>
        <w:t>p</w:t>
      </w:r>
      <w:r w:rsidRPr="00D736BC">
        <w:rPr>
          <w:rFonts w:ascii="Garamond" w:hAnsi="Garamond"/>
          <w:sz w:val="24"/>
          <w:szCs w:val="24"/>
        </w:rPr>
        <w:t>. 321</w:t>
      </w:r>
      <w:r w:rsidR="00790AC8">
        <w:rPr>
          <w:rFonts w:ascii="Garamond" w:hAnsi="Garamond"/>
          <w:sz w:val="24"/>
          <w:szCs w:val="24"/>
        </w:rPr>
        <w:t>–</w:t>
      </w:r>
      <w:r w:rsidR="00EB0EDE">
        <w:rPr>
          <w:rFonts w:ascii="Garamond" w:hAnsi="Garamond"/>
          <w:sz w:val="24"/>
          <w:szCs w:val="24"/>
        </w:rPr>
        <w:t>334</w:t>
      </w:r>
      <w:r w:rsidRPr="00D736BC">
        <w:rPr>
          <w:rFonts w:ascii="Garamond" w:hAnsi="Garamond"/>
          <w:sz w:val="24"/>
          <w:szCs w:val="24"/>
        </w:rPr>
        <w:t>.</w:t>
      </w:r>
    </w:p>
    <w:p w14:paraId="5D752185" w14:textId="77777777" w:rsidR="001E44D1" w:rsidRPr="006906E5" w:rsidRDefault="001E44D1" w:rsidP="001E44D1">
      <w:pPr>
        <w:pStyle w:val="Bibliography"/>
        <w:rPr>
          <w:rFonts w:ascii="Garamond" w:hAnsi="Garamond"/>
          <w:sz w:val="24"/>
          <w:szCs w:val="24"/>
        </w:rPr>
      </w:pPr>
      <w:r w:rsidRPr="006906E5">
        <w:rPr>
          <w:rFonts w:ascii="Garamond" w:hAnsi="Garamond"/>
          <w:sz w:val="24"/>
          <w:szCs w:val="24"/>
        </w:rPr>
        <w:t>Swift, K., Miller, C., 1980. The Handbook of Nonsexist Writing. Lippincott and Crowell, New York.</w:t>
      </w:r>
    </w:p>
    <w:p w14:paraId="7193D2F1" w14:textId="438C62D9" w:rsidR="001E44D1" w:rsidRPr="006906E5" w:rsidRDefault="00196965" w:rsidP="00196965">
      <w:pPr>
        <w:pStyle w:val="Bibliography"/>
        <w:rPr>
          <w:rFonts w:ascii="Garamond" w:hAnsi="Garamond"/>
          <w:sz w:val="24"/>
          <w:szCs w:val="24"/>
        </w:rPr>
      </w:pPr>
      <w:r w:rsidRPr="00196965">
        <w:rPr>
          <w:rFonts w:ascii="Garamond" w:hAnsi="Garamond"/>
          <w:sz w:val="24"/>
          <w:szCs w:val="24"/>
        </w:rPr>
        <w:t>Teubner G.</w:t>
      </w:r>
      <w:r w:rsidR="009102AD">
        <w:rPr>
          <w:rFonts w:ascii="Garamond" w:hAnsi="Garamond"/>
          <w:sz w:val="24"/>
          <w:szCs w:val="24"/>
        </w:rPr>
        <w:t>,</w:t>
      </w:r>
      <w:r w:rsidRPr="00196965">
        <w:rPr>
          <w:rFonts w:ascii="Garamond" w:hAnsi="Garamond"/>
          <w:sz w:val="24"/>
          <w:szCs w:val="24"/>
        </w:rPr>
        <w:t xml:space="preserve"> </w:t>
      </w:r>
      <w:r w:rsidR="009102AD">
        <w:rPr>
          <w:rFonts w:ascii="Garamond" w:hAnsi="Garamond"/>
          <w:sz w:val="24"/>
          <w:szCs w:val="24"/>
        </w:rPr>
        <w:t xml:space="preserve">1992. </w:t>
      </w:r>
      <w:r w:rsidRPr="00196965">
        <w:rPr>
          <w:rFonts w:ascii="Garamond" w:hAnsi="Garamond"/>
          <w:sz w:val="24"/>
          <w:szCs w:val="24"/>
        </w:rPr>
        <w:t>Regulatory Law: Chron</w:t>
      </w:r>
      <w:r w:rsidR="009102AD">
        <w:rPr>
          <w:rFonts w:ascii="Garamond" w:hAnsi="Garamond"/>
          <w:sz w:val="24"/>
          <w:szCs w:val="24"/>
        </w:rPr>
        <w:t>icle of a Death Foretold. Soc</w:t>
      </w:r>
      <w:r w:rsidR="006B1F1C">
        <w:rPr>
          <w:rFonts w:ascii="Garamond" w:hAnsi="Garamond"/>
          <w:sz w:val="24"/>
          <w:szCs w:val="24"/>
        </w:rPr>
        <w:t>.</w:t>
      </w:r>
      <w:r w:rsidR="009102AD">
        <w:rPr>
          <w:rFonts w:ascii="Garamond" w:hAnsi="Garamond"/>
          <w:sz w:val="24"/>
          <w:szCs w:val="24"/>
        </w:rPr>
        <w:t xml:space="preserve"> &amp; Leg</w:t>
      </w:r>
      <w:r w:rsidR="006B1F1C">
        <w:rPr>
          <w:rFonts w:ascii="Garamond" w:hAnsi="Garamond"/>
          <w:sz w:val="24"/>
          <w:szCs w:val="24"/>
        </w:rPr>
        <w:t>.</w:t>
      </w:r>
      <w:r w:rsidR="009102AD">
        <w:rPr>
          <w:rFonts w:ascii="Garamond" w:hAnsi="Garamond"/>
          <w:sz w:val="24"/>
          <w:szCs w:val="24"/>
        </w:rPr>
        <w:t xml:space="preserve"> Stud. </w:t>
      </w:r>
      <w:r w:rsidR="006B1F1C">
        <w:rPr>
          <w:rFonts w:ascii="Garamond" w:hAnsi="Garamond"/>
          <w:sz w:val="24"/>
          <w:szCs w:val="24"/>
        </w:rPr>
        <w:t>1</w:t>
      </w:r>
      <w:r w:rsidR="009102AD">
        <w:rPr>
          <w:rFonts w:ascii="Garamond" w:hAnsi="Garamond"/>
          <w:sz w:val="24"/>
          <w:szCs w:val="24"/>
        </w:rPr>
        <w:t xml:space="preserve">, </w:t>
      </w:r>
      <w:r w:rsidRPr="00196965">
        <w:rPr>
          <w:rFonts w:ascii="Garamond" w:hAnsi="Garamond"/>
          <w:sz w:val="24"/>
          <w:szCs w:val="24"/>
        </w:rPr>
        <w:t>451</w:t>
      </w:r>
      <w:r w:rsidR="009102AD">
        <w:rPr>
          <w:rFonts w:ascii="Garamond" w:hAnsi="Garamond"/>
          <w:sz w:val="24"/>
          <w:szCs w:val="24"/>
        </w:rPr>
        <w:t>–</w:t>
      </w:r>
      <w:r w:rsidRPr="00196965">
        <w:rPr>
          <w:rFonts w:ascii="Garamond" w:hAnsi="Garamond"/>
          <w:sz w:val="24"/>
          <w:szCs w:val="24"/>
        </w:rPr>
        <w:t xml:space="preserve">475.  </w:t>
      </w:r>
    </w:p>
    <w:p w14:paraId="4F104968" w14:textId="366D70FA" w:rsidR="001E44D1" w:rsidRPr="00126C08" w:rsidRDefault="001E44D1" w:rsidP="001E44D1">
      <w:pPr>
        <w:pStyle w:val="Bibliography"/>
        <w:rPr>
          <w:rFonts w:ascii="Garamond" w:hAnsi="Garamond"/>
          <w:sz w:val="24"/>
          <w:szCs w:val="24"/>
        </w:rPr>
      </w:pPr>
      <w:r w:rsidRPr="00126C08">
        <w:rPr>
          <w:rFonts w:ascii="Garamond" w:hAnsi="Garamond"/>
          <w:sz w:val="24"/>
          <w:szCs w:val="24"/>
        </w:rPr>
        <w:t>Timmermans, C., 1997. How Can One Improve the Quality of Community Legislation? Common Mark. Law Rev. 34, 1229</w:t>
      </w:r>
      <w:r w:rsidR="00D757EE">
        <w:rPr>
          <w:rFonts w:ascii="Garamond" w:hAnsi="Garamond"/>
          <w:sz w:val="24"/>
          <w:szCs w:val="24"/>
        </w:rPr>
        <w:t>–1257</w:t>
      </w:r>
      <w:r w:rsidRPr="00126C08">
        <w:rPr>
          <w:rFonts w:ascii="Garamond" w:hAnsi="Garamond"/>
          <w:sz w:val="24"/>
          <w:szCs w:val="24"/>
        </w:rPr>
        <w:t>.</w:t>
      </w:r>
    </w:p>
    <w:p w14:paraId="1A69E7F5" w14:textId="028335C0" w:rsidR="003D7BA9" w:rsidRPr="00D757EE" w:rsidRDefault="00EA0BA6" w:rsidP="005A3290">
      <w:pPr>
        <w:spacing w:after="0"/>
        <w:ind w:left="709" w:hanging="709"/>
        <w:rPr>
          <w:rFonts w:ascii="Garamond" w:hAnsi="Garamond"/>
          <w:sz w:val="24"/>
          <w:szCs w:val="24"/>
        </w:rPr>
      </w:pPr>
      <w:r w:rsidRPr="00D757EE">
        <w:rPr>
          <w:rFonts w:ascii="Garamond" w:hAnsi="Garamond"/>
          <w:sz w:val="24"/>
          <w:szCs w:val="24"/>
        </w:rPr>
        <w:t>United Nations Development Programme</w:t>
      </w:r>
      <w:r w:rsidR="00D757EE">
        <w:rPr>
          <w:rFonts w:ascii="Garamond" w:hAnsi="Garamond"/>
          <w:sz w:val="24"/>
          <w:szCs w:val="24"/>
        </w:rPr>
        <w:t>,</w:t>
      </w:r>
      <w:r w:rsidRPr="00D757EE">
        <w:rPr>
          <w:rFonts w:ascii="Garamond" w:hAnsi="Garamond"/>
          <w:sz w:val="24"/>
          <w:szCs w:val="24"/>
        </w:rPr>
        <w:t xml:space="preserve"> 20</w:t>
      </w:r>
      <w:r w:rsidR="002A0CC2" w:rsidRPr="00D757EE">
        <w:rPr>
          <w:rFonts w:ascii="Garamond" w:hAnsi="Garamond"/>
          <w:sz w:val="24"/>
          <w:szCs w:val="24"/>
        </w:rPr>
        <w:t>0</w:t>
      </w:r>
      <w:r w:rsidRPr="00D757EE">
        <w:rPr>
          <w:rFonts w:ascii="Garamond" w:hAnsi="Garamond"/>
          <w:sz w:val="24"/>
          <w:szCs w:val="24"/>
        </w:rPr>
        <w:t>3</w:t>
      </w:r>
      <w:r w:rsidR="00D757EE">
        <w:rPr>
          <w:rFonts w:ascii="Garamond" w:hAnsi="Garamond"/>
          <w:sz w:val="24"/>
          <w:szCs w:val="24"/>
        </w:rPr>
        <w:t>.</w:t>
      </w:r>
      <w:r w:rsidRPr="00D757EE">
        <w:rPr>
          <w:rFonts w:ascii="Garamond" w:hAnsi="Garamond"/>
          <w:sz w:val="24"/>
          <w:szCs w:val="24"/>
        </w:rPr>
        <w:t xml:space="preserve"> Drafting </w:t>
      </w:r>
      <w:r w:rsidR="00D757EE">
        <w:rPr>
          <w:rFonts w:ascii="Garamond" w:hAnsi="Garamond"/>
          <w:sz w:val="24"/>
          <w:szCs w:val="24"/>
        </w:rPr>
        <w:t>G</w:t>
      </w:r>
      <w:r w:rsidRPr="00D757EE">
        <w:rPr>
          <w:rFonts w:ascii="Garamond" w:hAnsi="Garamond"/>
          <w:sz w:val="24"/>
          <w:szCs w:val="24"/>
        </w:rPr>
        <w:t>ender-</w:t>
      </w:r>
      <w:r w:rsidR="00D757EE">
        <w:rPr>
          <w:rFonts w:ascii="Garamond" w:hAnsi="Garamond"/>
          <w:sz w:val="24"/>
          <w:szCs w:val="24"/>
        </w:rPr>
        <w:t>A</w:t>
      </w:r>
      <w:r w:rsidRPr="00D757EE">
        <w:rPr>
          <w:rFonts w:ascii="Garamond" w:hAnsi="Garamond"/>
          <w:sz w:val="24"/>
          <w:szCs w:val="24"/>
        </w:rPr>
        <w:t xml:space="preserve">ware </w:t>
      </w:r>
      <w:r w:rsidR="00D757EE">
        <w:rPr>
          <w:rFonts w:ascii="Garamond" w:hAnsi="Garamond"/>
          <w:sz w:val="24"/>
          <w:szCs w:val="24"/>
        </w:rPr>
        <w:t>L</w:t>
      </w:r>
      <w:r w:rsidRPr="00D757EE">
        <w:rPr>
          <w:rFonts w:ascii="Garamond" w:hAnsi="Garamond"/>
          <w:sz w:val="24"/>
          <w:szCs w:val="24"/>
        </w:rPr>
        <w:t xml:space="preserve">egislation: </w:t>
      </w:r>
      <w:r w:rsidR="00D757EE">
        <w:rPr>
          <w:rFonts w:ascii="Garamond" w:hAnsi="Garamond"/>
          <w:sz w:val="24"/>
          <w:szCs w:val="24"/>
        </w:rPr>
        <w:t>H</w:t>
      </w:r>
      <w:r w:rsidRPr="00D757EE">
        <w:rPr>
          <w:rFonts w:ascii="Garamond" w:hAnsi="Garamond"/>
          <w:sz w:val="24"/>
          <w:szCs w:val="24"/>
        </w:rPr>
        <w:t xml:space="preserve">ow to </w:t>
      </w:r>
      <w:r w:rsidR="00D757EE">
        <w:rPr>
          <w:rFonts w:ascii="Garamond" w:hAnsi="Garamond"/>
          <w:sz w:val="24"/>
          <w:szCs w:val="24"/>
        </w:rPr>
        <w:t>P</w:t>
      </w:r>
      <w:r w:rsidRPr="00D757EE">
        <w:rPr>
          <w:rFonts w:ascii="Garamond" w:hAnsi="Garamond"/>
          <w:sz w:val="24"/>
          <w:szCs w:val="24"/>
        </w:rPr>
        <w:t xml:space="preserve">romote and </w:t>
      </w:r>
      <w:r w:rsidR="00D757EE">
        <w:rPr>
          <w:rFonts w:ascii="Garamond" w:hAnsi="Garamond"/>
          <w:sz w:val="24"/>
          <w:szCs w:val="24"/>
        </w:rPr>
        <w:t>P</w:t>
      </w:r>
      <w:r w:rsidRPr="00D757EE">
        <w:rPr>
          <w:rFonts w:ascii="Garamond" w:hAnsi="Garamond"/>
          <w:sz w:val="24"/>
          <w:szCs w:val="24"/>
        </w:rPr>
        <w:t xml:space="preserve">rotect </w:t>
      </w:r>
      <w:r w:rsidR="00D757EE">
        <w:rPr>
          <w:rFonts w:ascii="Garamond" w:hAnsi="Garamond"/>
          <w:sz w:val="24"/>
          <w:szCs w:val="24"/>
        </w:rPr>
        <w:t>G</w:t>
      </w:r>
      <w:r w:rsidRPr="00D757EE">
        <w:rPr>
          <w:rFonts w:ascii="Garamond" w:hAnsi="Garamond"/>
          <w:sz w:val="24"/>
          <w:szCs w:val="24"/>
        </w:rPr>
        <w:t xml:space="preserve">ender </w:t>
      </w:r>
      <w:r w:rsidR="00D757EE">
        <w:rPr>
          <w:rFonts w:ascii="Garamond" w:hAnsi="Garamond"/>
          <w:sz w:val="24"/>
          <w:szCs w:val="24"/>
        </w:rPr>
        <w:t>E</w:t>
      </w:r>
      <w:r w:rsidRPr="00D757EE">
        <w:rPr>
          <w:rFonts w:ascii="Garamond" w:hAnsi="Garamond"/>
          <w:sz w:val="24"/>
          <w:szCs w:val="24"/>
        </w:rPr>
        <w:t>quality in Central and Eastern Europe and in the Commonwealth of Independent States.</w:t>
      </w:r>
      <w:r w:rsidR="003D7BA9" w:rsidRPr="00D757EE">
        <w:rPr>
          <w:rFonts w:ascii="Garamond" w:hAnsi="Garamond"/>
          <w:sz w:val="24"/>
          <w:szCs w:val="24"/>
        </w:rPr>
        <w:t xml:space="preserve"> UNDP</w:t>
      </w:r>
      <w:r w:rsidR="00D757EE">
        <w:rPr>
          <w:rFonts w:ascii="Garamond" w:hAnsi="Garamond"/>
          <w:sz w:val="24"/>
          <w:szCs w:val="24"/>
        </w:rPr>
        <w:t>, Bratislava</w:t>
      </w:r>
      <w:r w:rsidR="003D7BA9" w:rsidRPr="00D757EE">
        <w:rPr>
          <w:rFonts w:ascii="Garamond" w:hAnsi="Garamond"/>
          <w:sz w:val="24"/>
          <w:szCs w:val="24"/>
        </w:rPr>
        <w:t>.</w:t>
      </w:r>
      <w:r w:rsidR="00D757EE">
        <w:rPr>
          <w:rFonts w:ascii="Garamond" w:hAnsi="Garamond"/>
          <w:sz w:val="24"/>
          <w:szCs w:val="24"/>
        </w:rPr>
        <w:t xml:space="preserve"> </w:t>
      </w:r>
      <w:r w:rsidR="00D757EE" w:rsidRPr="00D757EE">
        <w:rPr>
          <w:rFonts w:ascii="Garamond" w:hAnsi="Garamond"/>
          <w:sz w:val="24"/>
          <w:szCs w:val="24"/>
        </w:rPr>
        <w:t>https://iknowpolitics.org/sites/default/files/drafting20gender-aware20legislation.pdf</w:t>
      </w:r>
      <w:r w:rsidR="003D7BA9" w:rsidRPr="00D757EE">
        <w:rPr>
          <w:rFonts w:ascii="Garamond" w:hAnsi="Garamond"/>
          <w:sz w:val="24"/>
          <w:szCs w:val="24"/>
        </w:rPr>
        <w:t xml:space="preserve"> </w:t>
      </w:r>
      <w:r w:rsidRPr="00D757EE">
        <w:rPr>
          <w:rFonts w:ascii="Garamond" w:hAnsi="Garamond"/>
          <w:sz w:val="24"/>
          <w:szCs w:val="24"/>
        </w:rPr>
        <w:t xml:space="preserve"> </w:t>
      </w:r>
    </w:p>
    <w:p w14:paraId="3EDCFD50" w14:textId="7EB1B341" w:rsidR="001E44D1" w:rsidRPr="00D757EE" w:rsidRDefault="001E44D1" w:rsidP="00D757EE">
      <w:pPr>
        <w:pStyle w:val="Bibliography"/>
        <w:rPr>
          <w:rFonts w:ascii="Garamond" w:hAnsi="Garamond"/>
          <w:sz w:val="24"/>
          <w:szCs w:val="24"/>
        </w:rPr>
      </w:pPr>
      <w:r w:rsidRPr="00D757EE">
        <w:rPr>
          <w:rFonts w:ascii="Garamond" w:hAnsi="Garamond"/>
          <w:sz w:val="24"/>
          <w:szCs w:val="24"/>
        </w:rPr>
        <w:t xml:space="preserve">Voermans, W.J.M., 2009. Concern about the Quality of EU Legislation: What Kind of Problem, by What Kind of Standards? Erasmus Law Rev. 2, </w:t>
      </w:r>
      <w:r w:rsidR="00D757EE">
        <w:rPr>
          <w:rFonts w:ascii="Garamond" w:hAnsi="Garamond"/>
          <w:sz w:val="24"/>
          <w:szCs w:val="24"/>
        </w:rPr>
        <w:t>59–95</w:t>
      </w:r>
      <w:r w:rsidRPr="00D757EE">
        <w:rPr>
          <w:rFonts w:ascii="Garamond" w:hAnsi="Garamond"/>
          <w:sz w:val="24"/>
          <w:szCs w:val="24"/>
        </w:rPr>
        <w:t>.</w:t>
      </w:r>
    </w:p>
    <w:p w14:paraId="3EEEBA6F" w14:textId="0CE78FA6" w:rsidR="001E44D1" w:rsidRPr="006B4F3E" w:rsidRDefault="001E44D1" w:rsidP="001E44D1">
      <w:pPr>
        <w:pStyle w:val="Bibliography"/>
        <w:rPr>
          <w:rFonts w:ascii="Garamond" w:hAnsi="Garamond"/>
          <w:sz w:val="24"/>
          <w:szCs w:val="24"/>
        </w:rPr>
      </w:pPr>
      <w:r w:rsidRPr="006B4F3E">
        <w:rPr>
          <w:rFonts w:ascii="Garamond" w:hAnsi="Garamond"/>
          <w:sz w:val="24"/>
          <w:szCs w:val="24"/>
        </w:rPr>
        <w:lastRenderedPageBreak/>
        <w:t xml:space="preserve">Weatherill, </w:t>
      </w:r>
      <w:r w:rsidR="00B25503">
        <w:rPr>
          <w:rFonts w:ascii="Garamond" w:hAnsi="Garamond"/>
          <w:sz w:val="24"/>
          <w:szCs w:val="24"/>
        </w:rPr>
        <w:t xml:space="preserve">S., </w:t>
      </w:r>
      <w:r w:rsidRPr="006B4F3E">
        <w:rPr>
          <w:rFonts w:ascii="Garamond" w:hAnsi="Garamond"/>
          <w:sz w:val="24"/>
          <w:szCs w:val="24"/>
        </w:rPr>
        <w:t>2007. The Challenge of Better Regulation, in</w:t>
      </w:r>
      <w:r w:rsidR="001E4B78">
        <w:rPr>
          <w:rFonts w:ascii="Garamond" w:hAnsi="Garamond"/>
          <w:sz w:val="24"/>
          <w:szCs w:val="24"/>
        </w:rPr>
        <w:t xml:space="preserve"> S</w:t>
      </w:r>
      <w:r w:rsidR="00B82D4C">
        <w:rPr>
          <w:rFonts w:ascii="Garamond" w:hAnsi="Garamond"/>
          <w:sz w:val="24"/>
          <w:szCs w:val="24"/>
        </w:rPr>
        <w:t>.</w:t>
      </w:r>
      <w:r w:rsidR="001E4B78">
        <w:rPr>
          <w:rFonts w:ascii="Garamond" w:hAnsi="Garamond"/>
          <w:sz w:val="24"/>
          <w:szCs w:val="24"/>
        </w:rPr>
        <w:t xml:space="preserve"> Weatherill, ed.</w:t>
      </w:r>
      <w:r w:rsidRPr="006B4F3E">
        <w:rPr>
          <w:rFonts w:ascii="Garamond" w:hAnsi="Garamond"/>
          <w:sz w:val="24"/>
          <w:szCs w:val="24"/>
        </w:rPr>
        <w:t xml:space="preserve"> Better Regulation. Hart Publishing, Oxford, p</w:t>
      </w:r>
      <w:r w:rsidR="003B12B7">
        <w:rPr>
          <w:rFonts w:ascii="Garamond" w:hAnsi="Garamond"/>
          <w:sz w:val="24"/>
          <w:szCs w:val="24"/>
        </w:rPr>
        <w:t>p.</w:t>
      </w:r>
      <w:r w:rsidRPr="006B4F3E">
        <w:rPr>
          <w:rFonts w:ascii="Garamond" w:hAnsi="Garamond"/>
          <w:sz w:val="24"/>
          <w:szCs w:val="24"/>
        </w:rPr>
        <w:t xml:space="preserve"> 1</w:t>
      </w:r>
      <w:r w:rsidR="006B1F1C">
        <w:rPr>
          <w:rFonts w:ascii="Garamond" w:hAnsi="Garamond"/>
          <w:sz w:val="24"/>
          <w:szCs w:val="24"/>
        </w:rPr>
        <w:t>–</w:t>
      </w:r>
      <w:r w:rsidR="003B12B7">
        <w:rPr>
          <w:rFonts w:ascii="Garamond" w:hAnsi="Garamond"/>
          <w:sz w:val="24"/>
          <w:szCs w:val="24"/>
        </w:rPr>
        <w:t>18</w:t>
      </w:r>
      <w:r w:rsidRPr="006B4F3E">
        <w:rPr>
          <w:rFonts w:ascii="Garamond" w:hAnsi="Garamond"/>
          <w:sz w:val="24"/>
          <w:szCs w:val="24"/>
        </w:rPr>
        <w:t>.</w:t>
      </w:r>
    </w:p>
    <w:p w14:paraId="6772FC07" w14:textId="752C4AED" w:rsidR="001E44D1" w:rsidRPr="00B67C0A" w:rsidRDefault="001E44D1" w:rsidP="001E44D1">
      <w:pPr>
        <w:pStyle w:val="Bibliography"/>
        <w:rPr>
          <w:rFonts w:ascii="Garamond" w:hAnsi="Garamond"/>
          <w:sz w:val="24"/>
          <w:szCs w:val="24"/>
        </w:rPr>
      </w:pPr>
      <w:r w:rsidRPr="006B4F3E">
        <w:rPr>
          <w:rFonts w:ascii="Garamond" w:hAnsi="Garamond"/>
          <w:sz w:val="24"/>
          <w:szCs w:val="24"/>
        </w:rPr>
        <w:t xml:space="preserve">Williams, C., 2008. The End of the ‘Masculine Rule’? Gender-Neutral Legislative Drafting in the United Kingdom and Ireland. Statute Law Rev. 29, 139–153. </w:t>
      </w:r>
    </w:p>
    <w:p w14:paraId="413B923A" w14:textId="60643DA6" w:rsidR="001E44D1" w:rsidRPr="00B67C0A" w:rsidRDefault="001E44D1" w:rsidP="001E44D1">
      <w:pPr>
        <w:pStyle w:val="Bibliography"/>
        <w:rPr>
          <w:rFonts w:ascii="Garamond" w:hAnsi="Garamond"/>
          <w:sz w:val="24"/>
          <w:szCs w:val="24"/>
        </w:rPr>
      </w:pPr>
      <w:r w:rsidRPr="00B67C0A">
        <w:rPr>
          <w:rFonts w:ascii="Garamond" w:hAnsi="Garamond"/>
          <w:sz w:val="24"/>
          <w:szCs w:val="24"/>
        </w:rPr>
        <w:t>Wilson, M., 2011. Sir William Dale Annual Memorial Lecture: Gender-Neutral Law Drafting: The Challenge of Translating Policy into Legislation. Eur. J. Law Reform 13, 199</w:t>
      </w:r>
      <w:r w:rsidR="00AD29E4">
        <w:rPr>
          <w:rFonts w:ascii="Garamond" w:hAnsi="Garamond"/>
          <w:sz w:val="24"/>
          <w:szCs w:val="24"/>
        </w:rPr>
        <w:t>–209</w:t>
      </w:r>
      <w:r w:rsidRPr="00B67C0A">
        <w:rPr>
          <w:rFonts w:ascii="Garamond" w:hAnsi="Garamond"/>
          <w:sz w:val="24"/>
          <w:szCs w:val="24"/>
        </w:rPr>
        <w:t>.</w:t>
      </w:r>
    </w:p>
    <w:p w14:paraId="25659450" w14:textId="45198F99" w:rsidR="001E44D1" w:rsidRPr="00B67C0A" w:rsidRDefault="001E44D1" w:rsidP="001E44D1">
      <w:pPr>
        <w:pStyle w:val="Bibliography"/>
        <w:rPr>
          <w:rFonts w:ascii="Garamond" w:hAnsi="Garamond"/>
          <w:sz w:val="24"/>
          <w:szCs w:val="24"/>
        </w:rPr>
      </w:pPr>
      <w:r w:rsidRPr="00B67C0A">
        <w:rPr>
          <w:rFonts w:ascii="Garamond" w:hAnsi="Garamond"/>
          <w:sz w:val="24"/>
          <w:szCs w:val="24"/>
        </w:rPr>
        <w:t>Xanthaki, H., 2014. Drafting Legislation: Art and Technology of Rules for Regulation. Bloomsbury Publishing</w:t>
      </w:r>
      <w:r w:rsidR="003B12B7">
        <w:rPr>
          <w:rFonts w:ascii="Garamond" w:hAnsi="Garamond"/>
          <w:sz w:val="24"/>
          <w:szCs w:val="24"/>
        </w:rPr>
        <w:t>, London</w:t>
      </w:r>
      <w:r w:rsidRPr="00B67C0A">
        <w:rPr>
          <w:rFonts w:ascii="Garamond" w:hAnsi="Garamond"/>
          <w:sz w:val="24"/>
          <w:szCs w:val="24"/>
        </w:rPr>
        <w:t>.</w:t>
      </w:r>
    </w:p>
    <w:p w14:paraId="44F7815A" w14:textId="40934790" w:rsidR="001E44D1" w:rsidRPr="00B67C0A" w:rsidRDefault="001E44D1" w:rsidP="001E44D1">
      <w:pPr>
        <w:pStyle w:val="Bibliography"/>
        <w:rPr>
          <w:rFonts w:ascii="Garamond" w:hAnsi="Garamond"/>
          <w:sz w:val="24"/>
          <w:szCs w:val="24"/>
        </w:rPr>
      </w:pPr>
      <w:r w:rsidRPr="00B67C0A">
        <w:rPr>
          <w:rFonts w:ascii="Garamond" w:hAnsi="Garamond"/>
          <w:sz w:val="24"/>
          <w:szCs w:val="24"/>
        </w:rPr>
        <w:t xml:space="preserve">Xanthaki, H., 2008. On </w:t>
      </w:r>
      <w:r w:rsidR="00AD29E4">
        <w:rPr>
          <w:rFonts w:ascii="Garamond" w:hAnsi="Garamond"/>
          <w:sz w:val="24"/>
          <w:szCs w:val="24"/>
        </w:rPr>
        <w:t>T</w:t>
      </w:r>
      <w:r w:rsidRPr="00B67C0A">
        <w:rPr>
          <w:rFonts w:ascii="Garamond" w:hAnsi="Garamond"/>
          <w:sz w:val="24"/>
          <w:szCs w:val="24"/>
        </w:rPr>
        <w:t xml:space="preserve">ransferability of </w:t>
      </w:r>
      <w:r w:rsidR="00AD29E4">
        <w:rPr>
          <w:rFonts w:ascii="Garamond" w:hAnsi="Garamond"/>
          <w:sz w:val="24"/>
          <w:szCs w:val="24"/>
        </w:rPr>
        <w:t>L</w:t>
      </w:r>
      <w:r w:rsidRPr="00B67C0A">
        <w:rPr>
          <w:rFonts w:ascii="Garamond" w:hAnsi="Garamond"/>
          <w:sz w:val="24"/>
          <w:szCs w:val="24"/>
        </w:rPr>
        <w:t xml:space="preserve">egislative </w:t>
      </w:r>
      <w:r w:rsidR="00AD29E4">
        <w:rPr>
          <w:rFonts w:ascii="Garamond" w:hAnsi="Garamond"/>
          <w:sz w:val="24"/>
          <w:szCs w:val="24"/>
        </w:rPr>
        <w:t>S</w:t>
      </w:r>
      <w:r w:rsidRPr="00B67C0A">
        <w:rPr>
          <w:rFonts w:ascii="Garamond" w:hAnsi="Garamond"/>
          <w:sz w:val="24"/>
          <w:szCs w:val="24"/>
        </w:rPr>
        <w:t xml:space="preserve">olutions: </w:t>
      </w:r>
      <w:r w:rsidR="00AD29E4">
        <w:rPr>
          <w:rFonts w:ascii="Garamond" w:hAnsi="Garamond"/>
          <w:sz w:val="24"/>
          <w:szCs w:val="24"/>
        </w:rPr>
        <w:t>T</w:t>
      </w:r>
      <w:r w:rsidRPr="00B67C0A">
        <w:rPr>
          <w:rFonts w:ascii="Garamond" w:hAnsi="Garamond"/>
          <w:sz w:val="24"/>
          <w:szCs w:val="24"/>
        </w:rPr>
        <w:t xml:space="preserve">he </w:t>
      </w:r>
      <w:r w:rsidR="00AD29E4">
        <w:rPr>
          <w:rFonts w:ascii="Garamond" w:hAnsi="Garamond"/>
          <w:sz w:val="24"/>
          <w:szCs w:val="24"/>
        </w:rPr>
        <w:t>F</w:t>
      </w:r>
      <w:r w:rsidRPr="00B67C0A">
        <w:rPr>
          <w:rFonts w:ascii="Garamond" w:hAnsi="Garamond"/>
          <w:sz w:val="24"/>
          <w:szCs w:val="24"/>
        </w:rPr>
        <w:t xml:space="preserve">unctionality </w:t>
      </w:r>
      <w:r w:rsidR="00AD29E4">
        <w:rPr>
          <w:rFonts w:ascii="Garamond" w:hAnsi="Garamond"/>
          <w:sz w:val="24"/>
          <w:szCs w:val="24"/>
        </w:rPr>
        <w:t>T</w:t>
      </w:r>
      <w:r w:rsidRPr="00B67C0A">
        <w:rPr>
          <w:rFonts w:ascii="Garamond" w:hAnsi="Garamond"/>
          <w:sz w:val="24"/>
          <w:szCs w:val="24"/>
        </w:rPr>
        <w:t>est, in</w:t>
      </w:r>
      <w:r w:rsidR="00AD29E4">
        <w:rPr>
          <w:rFonts w:ascii="Garamond" w:hAnsi="Garamond"/>
          <w:sz w:val="24"/>
          <w:szCs w:val="24"/>
        </w:rPr>
        <w:t xml:space="preserve"> S. Stefanou and H. Xanthaki, eds.</w:t>
      </w:r>
      <w:r w:rsidRPr="00B67C0A">
        <w:rPr>
          <w:rFonts w:ascii="Garamond" w:hAnsi="Garamond"/>
          <w:sz w:val="24"/>
          <w:szCs w:val="24"/>
        </w:rPr>
        <w:t xml:space="preserve"> Drafting Legislation: A Modern Approach. Ashgate, </w:t>
      </w:r>
      <w:r w:rsidR="00AD29E4">
        <w:rPr>
          <w:rFonts w:ascii="Garamond" w:hAnsi="Garamond"/>
          <w:sz w:val="24"/>
          <w:szCs w:val="24"/>
        </w:rPr>
        <w:t xml:space="preserve">Aldershot, </w:t>
      </w:r>
      <w:r w:rsidRPr="00B67C0A">
        <w:rPr>
          <w:rFonts w:ascii="Garamond" w:hAnsi="Garamond"/>
          <w:sz w:val="24"/>
          <w:szCs w:val="24"/>
        </w:rPr>
        <w:t>pp. 1–18.</w:t>
      </w:r>
    </w:p>
    <w:p w14:paraId="5D3027AE" w14:textId="4720E0CC" w:rsidR="005A5ADD" w:rsidRPr="006B4F3E" w:rsidRDefault="00362F98" w:rsidP="005A5ADD">
      <w:pPr>
        <w:spacing w:line="480" w:lineRule="auto"/>
        <w:jc w:val="both"/>
        <w:rPr>
          <w:rStyle w:val="apple-style-span"/>
          <w:rFonts w:ascii="Garamond" w:hAnsi="Garamond" w:cs="Times New Roman"/>
          <w:sz w:val="24"/>
          <w:szCs w:val="24"/>
        </w:rPr>
      </w:pPr>
      <w:r w:rsidRPr="006B4F3E">
        <w:rPr>
          <w:rStyle w:val="apple-style-span"/>
          <w:rFonts w:ascii="Garamond" w:hAnsi="Garamond" w:cs="Times New Roman"/>
          <w:sz w:val="24"/>
          <w:szCs w:val="24"/>
        </w:rPr>
        <w:fldChar w:fldCharType="end"/>
      </w:r>
    </w:p>
    <w:sectPr w:rsidR="005A5ADD" w:rsidRPr="006B4F3E" w:rsidSect="00783006">
      <w:headerReference w:type="even" r:id="rId14"/>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BC7A" w16cex:dateUtc="2020-10-14T17:05:00Z"/>
  <w16cex:commentExtensible w16cex:durableId="233A8D5A" w16cex:dateUtc="2020-10-21T09:35:00Z"/>
  <w16cex:commentExtensible w16cex:durableId="2331B5C1" w16cex:dateUtc="2020-10-14T16:37:00Z"/>
  <w16cex:commentExtensible w16cex:durableId="233A8D6C" w16cex:dateUtc="2020-10-21T09:35:00Z"/>
  <w16cex:commentExtensible w16cex:durableId="2331BC8B" w16cex:dateUtc="2020-10-14T17:06:00Z"/>
  <w16cex:commentExtensible w16cex:durableId="233A8E63" w16cex:dateUtc="2020-10-21T09:39:00Z"/>
  <w16cex:commentExtensible w16cex:durableId="2331B662" w16cex:dateUtc="2020-10-14T16:39:00Z"/>
  <w16cex:commentExtensible w16cex:durableId="233AA563" w16cex:dateUtc="2020-10-21T11:17:00Z"/>
  <w16cex:commentExtensible w16cex:durableId="233AA603" w16cex:dateUtc="2020-10-21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633C5" w16cid:durableId="233A8CD9"/>
  <w16cid:commentId w16cid:paraId="4472FF4A" w16cid:durableId="2331BC7A"/>
  <w16cid:commentId w16cid:paraId="65D060CF" w16cid:durableId="233A8D5A"/>
  <w16cid:commentId w16cid:paraId="5D570252" w16cid:durableId="2331B5C1"/>
  <w16cid:commentId w16cid:paraId="6FA4675B" w16cid:durableId="233A8D6C"/>
  <w16cid:commentId w16cid:paraId="4D52EF01" w16cid:durableId="2331BC8B"/>
  <w16cid:commentId w16cid:paraId="313543A9" w16cid:durableId="233A8E63"/>
  <w16cid:commentId w16cid:paraId="23C31FD5" w16cid:durableId="2331B662"/>
  <w16cid:commentId w16cid:paraId="34A305E6" w16cid:durableId="233AA563"/>
  <w16cid:commentId w16cid:paraId="21FEBE16" w16cid:durableId="233A8CDE"/>
  <w16cid:commentId w16cid:paraId="24CE7998" w16cid:durableId="233AA6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BFC2E" w14:textId="77777777" w:rsidR="004948EF" w:rsidRDefault="004948EF" w:rsidP="00F17929">
      <w:pPr>
        <w:spacing w:after="0" w:line="240" w:lineRule="auto"/>
      </w:pPr>
      <w:r>
        <w:separator/>
      </w:r>
    </w:p>
  </w:endnote>
  <w:endnote w:type="continuationSeparator" w:id="0">
    <w:p w14:paraId="3DB17AD4" w14:textId="77777777" w:rsidR="004948EF" w:rsidRDefault="004948EF" w:rsidP="00F1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LMKP E+ Helvetica Neue">
    <w:altName w:val="Helvetica Neue"/>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2A13" w14:textId="1BF1FF5B" w:rsidR="00783006" w:rsidRDefault="00783006">
    <w:pPr>
      <w:pStyle w:val="Footer"/>
      <w:jc w:val="center"/>
    </w:pPr>
    <w:r>
      <w:t>__________________________________________________________________________________</w:t>
    </w:r>
  </w:p>
  <w:p w14:paraId="2DDE05D3" w14:textId="77777777" w:rsidR="00783006" w:rsidRDefault="00783006">
    <w:pPr>
      <w:pStyle w:val="Footer"/>
      <w:jc w:val="center"/>
    </w:pPr>
  </w:p>
  <w:p w14:paraId="2190955C" w14:textId="627A06CB" w:rsidR="00783006" w:rsidRDefault="004948EF">
    <w:pPr>
      <w:pStyle w:val="Footer"/>
      <w:jc w:val="center"/>
    </w:pPr>
    <w:sdt>
      <w:sdtPr>
        <w:id w:val="-1026402347"/>
        <w:docPartObj>
          <w:docPartGallery w:val="Page Numbers (Bottom of Page)"/>
          <w:docPartUnique/>
        </w:docPartObj>
      </w:sdtPr>
      <w:sdtEndPr>
        <w:rPr>
          <w:noProof/>
        </w:rPr>
      </w:sdtEndPr>
      <w:sdtContent>
        <w:r w:rsidR="00783006">
          <w:fldChar w:fldCharType="begin"/>
        </w:r>
        <w:r w:rsidR="00783006">
          <w:instrText xml:space="preserve"> PAGE   \* MERGEFORMAT </w:instrText>
        </w:r>
        <w:r w:rsidR="00783006">
          <w:fldChar w:fldCharType="separate"/>
        </w:r>
        <w:r w:rsidR="00271B57">
          <w:rPr>
            <w:noProof/>
          </w:rPr>
          <w:t>6</w:t>
        </w:r>
        <w:r w:rsidR="00783006">
          <w:rPr>
            <w:noProof/>
          </w:rPr>
          <w:fldChar w:fldCharType="end"/>
        </w:r>
      </w:sdtContent>
    </w:sdt>
  </w:p>
  <w:p w14:paraId="16C301AD" w14:textId="77777777" w:rsidR="00CF5BF6" w:rsidRDefault="00CF5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0037" w14:textId="4BD3E352" w:rsidR="00783006" w:rsidRDefault="00783006">
    <w:pPr>
      <w:pStyle w:val="Footer"/>
      <w:jc w:val="center"/>
    </w:pPr>
    <w:r>
      <w:t>__________________________________________________________________________________</w:t>
    </w:r>
  </w:p>
  <w:p w14:paraId="1AC4AFE9" w14:textId="77777777" w:rsidR="00783006" w:rsidRDefault="00783006">
    <w:pPr>
      <w:pStyle w:val="Footer"/>
      <w:jc w:val="center"/>
    </w:pPr>
  </w:p>
  <w:p w14:paraId="54D085A7" w14:textId="4029132C" w:rsidR="00783006" w:rsidRDefault="004948EF">
    <w:pPr>
      <w:pStyle w:val="Footer"/>
      <w:jc w:val="center"/>
    </w:pPr>
    <w:sdt>
      <w:sdtPr>
        <w:id w:val="-1693920244"/>
        <w:docPartObj>
          <w:docPartGallery w:val="Page Numbers (Bottom of Page)"/>
          <w:docPartUnique/>
        </w:docPartObj>
      </w:sdtPr>
      <w:sdtEndPr>
        <w:rPr>
          <w:noProof/>
        </w:rPr>
      </w:sdtEndPr>
      <w:sdtContent>
        <w:r w:rsidR="00783006">
          <w:fldChar w:fldCharType="begin"/>
        </w:r>
        <w:r w:rsidR="00783006">
          <w:instrText xml:space="preserve"> PAGE   \* MERGEFORMAT </w:instrText>
        </w:r>
        <w:r w:rsidR="00783006">
          <w:fldChar w:fldCharType="separate"/>
        </w:r>
        <w:r w:rsidR="00271B57">
          <w:rPr>
            <w:noProof/>
          </w:rPr>
          <w:t>7</w:t>
        </w:r>
        <w:r w:rsidR="00783006">
          <w:rPr>
            <w:noProof/>
          </w:rPr>
          <w:fldChar w:fldCharType="end"/>
        </w:r>
      </w:sdtContent>
    </w:sdt>
  </w:p>
  <w:p w14:paraId="7494C340" w14:textId="77777777" w:rsidR="00CF5BF6" w:rsidRDefault="00CF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E3B14" w14:textId="77777777" w:rsidR="004948EF" w:rsidRDefault="004948EF" w:rsidP="00F17929">
      <w:pPr>
        <w:spacing w:after="0" w:line="240" w:lineRule="auto"/>
      </w:pPr>
      <w:r>
        <w:separator/>
      </w:r>
    </w:p>
  </w:footnote>
  <w:footnote w:type="continuationSeparator" w:id="0">
    <w:p w14:paraId="2D4D46D5" w14:textId="77777777" w:rsidR="004948EF" w:rsidRDefault="004948EF" w:rsidP="00F17929">
      <w:pPr>
        <w:spacing w:after="0" w:line="240" w:lineRule="auto"/>
      </w:pPr>
      <w:r>
        <w:continuationSeparator/>
      </w:r>
    </w:p>
  </w:footnote>
  <w:footnote w:id="1">
    <w:p w14:paraId="78E7B573" w14:textId="1C1FA8A3" w:rsidR="00182B95" w:rsidRDefault="00182B95">
      <w:pPr>
        <w:pStyle w:val="FootnoteText"/>
      </w:pPr>
      <w:r>
        <w:rPr>
          <w:rStyle w:val="FootnoteReference"/>
        </w:rPr>
        <w:t>*</w:t>
      </w:r>
      <w:r>
        <w:t xml:space="preserve"> </w:t>
      </w:r>
      <w:r w:rsidRPr="00E11170">
        <w:rPr>
          <w:rFonts w:ascii="Garamond" w:hAnsi="Garamond"/>
        </w:rPr>
        <w:t>Professor of Law and Legislative Drafting, UCL</w:t>
      </w:r>
      <w:r>
        <w:rPr>
          <w:rFonts w:ascii="Garamond" w:hAnsi="Garamond"/>
        </w:rPr>
        <w:t>, UK</w:t>
      </w:r>
      <w:r w:rsidRPr="00E11170">
        <w:rPr>
          <w:rFonts w:ascii="Garamond" w:hAnsi="Garamond"/>
        </w:rPr>
        <w:t>; Dean, International Postgraduate Laws Programmes, University of London</w:t>
      </w:r>
      <w:r>
        <w:rPr>
          <w:rFonts w:ascii="Garamond" w:hAnsi="Garamond"/>
        </w:rPr>
        <w:t>, UK</w:t>
      </w:r>
      <w:r w:rsidRPr="00E11170">
        <w:rPr>
          <w:rFonts w:ascii="Garamond" w:hAnsi="Garamond"/>
        </w:rPr>
        <w:t xml:space="preserve">; Senior Associate Research Fellow, Sir William Dale </w:t>
      </w:r>
      <w:r>
        <w:rPr>
          <w:rFonts w:ascii="Garamond" w:hAnsi="Garamond"/>
        </w:rPr>
        <w:t xml:space="preserve">Centre </w:t>
      </w:r>
      <w:r w:rsidRPr="00E11170">
        <w:rPr>
          <w:rFonts w:ascii="Garamond" w:hAnsi="Garamond"/>
        </w:rPr>
        <w:t xml:space="preserve">for Legislative </w:t>
      </w:r>
      <w:r>
        <w:rPr>
          <w:rFonts w:ascii="Garamond" w:hAnsi="Garamond"/>
        </w:rPr>
        <w:t>Studies</w:t>
      </w:r>
      <w:r w:rsidRPr="00E11170">
        <w:rPr>
          <w:rFonts w:ascii="Garamond" w:hAnsi="Garamond"/>
        </w:rPr>
        <w:t>, I</w:t>
      </w:r>
      <w:r>
        <w:rPr>
          <w:rFonts w:ascii="Garamond" w:hAnsi="Garamond"/>
        </w:rPr>
        <w:t xml:space="preserve">nstitute of </w:t>
      </w:r>
      <w:r w:rsidRPr="00E11170">
        <w:rPr>
          <w:rFonts w:ascii="Garamond" w:hAnsi="Garamond"/>
        </w:rPr>
        <w:t>A</w:t>
      </w:r>
      <w:r>
        <w:rPr>
          <w:rFonts w:ascii="Garamond" w:hAnsi="Garamond"/>
        </w:rPr>
        <w:t xml:space="preserve">dvanced </w:t>
      </w:r>
      <w:r w:rsidRPr="00E11170">
        <w:rPr>
          <w:rFonts w:ascii="Garamond" w:hAnsi="Garamond"/>
        </w:rPr>
        <w:t>L</w:t>
      </w:r>
      <w:r>
        <w:rPr>
          <w:rFonts w:ascii="Garamond" w:hAnsi="Garamond"/>
        </w:rPr>
        <w:t xml:space="preserve">egal </w:t>
      </w:r>
      <w:r w:rsidRPr="00E11170">
        <w:rPr>
          <w:rFonts w:ascii="Garamond" w:hAnsi="Garamond"/>
        </w:rPr>
        <w:t>S</w:t>
      </w:r>
      <w:r>
        <w:rPr>
          <w:rFonts w:ascii="Garamond" w:hAnsi="Garamond"/>
        </w:rPr>
        <w:t>tudies, UK</w:t>
      </w:r>
      <w:r w:rsidRPr="00E11170">
        <w:rPr>
          <w:rFonts w:ascii="Garamond" w:hAnsi="Garamond"/>
        </w:rPr>
        <w:t>; and President, International Association for Legislation.</w:t>
      </w:r>
      <w:r>
        <w:rPr>
          <w:rFonts w:ascii="Garamond" w:hAnsi="Garamond"/>
        </w:rPr>
        <w:t xml:space="preserve"> Email </w:t>
      </w:r>
      <w:hyperlink r:id="rId1" w:history="1">
        <w:r w:rsidRPr="00D10F08">
          <w:rPr>
            <w:rStyle w:val="Hyperlink"/>
            <w:rFonts w:ascii="Garamond" w:hAnsi="Garamond"/>
          </w:rPr>
          <w:t>h.xanthaki@ucl.ac.uk</w:t>
        </w:r>
      </w:hyperlink>
      <w:r>
        <w:rPr>
          <w:rFonts w:ascii="Garamond" w:hAnsi="Garamond"/>
        </w:rPr>
        <w:t xml:space="preserve"> </w:t>
      </w:r>
    </w:p>
  </w:footnote>
  <w:footnote w:id="2">
    <w:p w14:paraId="75D8F22A" w14:textId="0D51E6DF" w:rsidR="00CF5BF6" w:rsidRPr="00E11170" w:rsidRDefault="00CF5BF6" w:rsidP="00AC367D">
      <w:pPr>
        <w:pStyle w:val="FootnoteText"/>
        <w:rPr>
          <w:rFonts w:ascii="Garamond" w:hAnsi="Garamond"/>
        </w:rPr>
      </w:pPr>
      <w:r w:rsidRPr="00E11170">
        <w:rPr>
          <w:rStyle w:val="FootnoteReference"/>
          <w:rFonts w:ascii="Garamond" w:hAnsi="Garamond"/>
        </w:rPr>
        <w:footnoteRef/>
      </w:r>
      <w:r w:rsidRPr="00E11170">
        <w:rPr>
          <w:rFonts w:ascii="Garamond" w:hAnsi="Garamond"/>
        </w:rPr>
        <w:t xml:space="preserve"> A statute is the formal expression of legislative policy </w:t>
      </w:r>
      <w:r w:rsidRPr="00E11170">
        <w:rPr>
          <w:rFonts w:ascii="Garamond" w:hAnsi="Garamond"/>
        </w:rPr>
        <w:fldChar w:fldCharType="begin"/>
      </w:r>
      <w:r w:rsidRPr="00E11170">
        <w:rPr>
          <w:rFonts w:ascii="Garamond" w:hAnsi="Garamond"/>
        </w:rPr>
        <w:instrText xml:space="preserve"> ADDIN ZOTERO_ITEM CSL_CITATION {"citationID":"pqJhiA8N","properties":{"formattedCitation":"(Driedger, 1976)","plainCitation":"(Driedger, 1976)","noteIndex":3},"citationItems":[{"id":3515,"uris":["http://zotero.org/users/1070015/items/SRE8NG7H"],"uri":["http://zotero.org/users/1070015/items/SRE8NG7H"],"itemData":{"id":3515,"type":"book","event-place":"Ottawa","publisher":"Ministry of Justice","publisher-place":"Ottawa","title":"The composition of legislation: legislative forms and precedents","author":[{"family":"Driedger","given":"Elmer A."}],"issued":{"date-parts":[["1976"]]}}}],"schema":"https://github.com/citation-style-language/schema/raw/master/csl-citation.json"} </w:instrText>
      </w:r>
      <w:r w:rsidRPr="00E11170">
        <w:rPr>
          <w:rFonts w:ascii="Garamond" w:hAnsi="Garamond"/>
        </w:rPr>
        <w:fldChar w:fldCharType="separate"/>
      </w:r>
      <w:r w:rsidRPr="00E11170">
        <w:rPr>
          <w:rFonts w:ascii="Garamond" w:hAnsi="Garamond"/>
          <w:noProof/>
        </w:rPr>
        <w:t>(Driedger, 1976)</w:t>
      </w:r>
      <w:r w:rsidRPr="00E11170">
        <w:rPr>
          <w:rFonts w:ascii="Garamond" w:hAnsi="Garamond"/>
        </w:rPr>
        <w:fldChar w:fldCharType="end"/>
      </w:r>
      <w:r w:rsidRPr="00E11170">
        <w:rPr>
          <w:rFonts w:ascii="Garamond" w:hAnsi="Garamond"/>
        </w:rPr>
        <w:t>.</w:t>
      </w:r>
    </w:p>
  </w:footnote>
  <w:footnote w:id="3">
    <w:p w14:paraId="4B96B386" w14:textId="41E6EAB1" w:rsidR="00CF5BF6" w:rsidRPr="00E11170" w:rsidRDefault="00CF5BF6" w:rsidP="00AC367D">
      <w:pPr>
        <w:pStyle w:val="footnotedescription"/>
        <w:spacing w:after="0" w:line="240" w:lineRule="auto"/>
        <w:ind w:right="96"/>
        <w:rPr>
          <w:rFonts w:ascii="Garamond" w:hAnsi="Garamond"/>
          <w:szCs w:val="20"/>
        </w:rPr>
      </w:pPr>
      <w:r w:rsidRPr="00E11170">
        <w:rPr>
          <w:rStyle w:val="FootnoteReference"/>
          <w:rFonts w:ascii="Garamond" w:hAnsi="Garamond"/>
          <w:szCs w:val="20"/>
        </w:rPr>
        <w:footnoteRef/>
      </w:r>
      <w:r w:rsidRPr="00E11170">
        <w:rPr>
          <w:rFonts w:ascii="Garamond" w:hAnsi="Garamond"/>
          <w:szCs w:val="20"/>
        </w:rPr>
        <w:t xml:space="preserve">  For a first draft of the pyramid, see</w:t>
      </w:r>
      <w:r>
        <w:rPr>
          <w:rFonts w:ascii="Garamond" w:hAnsi="Garamond"/>
          <w:szCs w:val="20"/>
        </w:rPr>
        <w:t xml:space="preserve"> </w:t>
      </w:r>
      <w:proofErr w:type="spellStart"/>
      <w:r>
        <w:rPr>
          <w:rFonts w:ascii="Garamond" w:hAnsi="Garamond"/>
          <w:szCs w:val="20"/>
        </w:rPr>
        <w:t>Xanthaki</w:t>
      </w:r>
      <w:proofErr w:type="spellEnd"/>
      <w:r>
        <w:rPr>
          <w:rFonts w:ascii="Garamond" w:hAnsi="Garamond"/>
          <w:szCs w:val="20"/>
        </w:rPr>
        <w:t xml:space="preserve"> (2008).  </w:t>
      </w:r>
    </w:p>
  </w:footnote>
  <w:footnote w:id="4">
    <w:p w14:paraId="1C9601B6" w14:textId="51105B22" w:rsidR="00CF5BF6" w:rsidRPr="00E11170" w:rsidRDefault="00CF5BF6" w:rsidP="00023922">
      <w:pPr>
        <w:pStyle w:val="FootnoteText"/>
        <w:rPr>
          <w:rFonts w:ascii="Garamond" w:hAnsi="Garamond"/>
        </w:rPr>
      </w:pPr>
      <w:r w:rsidRPr="00E11170">
        <w:rPr>
          <w:rStyle w:val="FootnoteReference"/>
          <w:rFonts w:ascii="Garamond" w:hAnsi="Garamond"/>
        </w:rPr>
        <w:footnoteRef/>
      </w:r>
      <w:r w:rsidRPr="00E11170">
        <w:rPr>
          <w:rFonts w:ascii="Garamond" w:hAnsi="Garamond"/>
        </w:rPr>
        <w:t xml:space="preserve"> See </w:t>
      </w:r>
      <w:r w:rsidRPr="00E11170">
        <w:rPr>
          <w:rFonts w:ascii="Garamond" w:hAnsi="Garamond"/>
        </w:rPr>
        <w:fldChar w:fldCharType="begin"/>
      </w:r>
      <w:r w:rsidRPr="00E11170">
        <w:rPr>
          <w:rFonts w:ascii="Garamond" w:hAnsi="Garamond"/>
        </w:rPr>
        <w:instrText xml:space="preserve"> ADDIN ZOTERO_ITEM CSL_CITATION {"citationID":"EhaOtdwj","properties":{"formattedCitation":"(Timmermans, 1997)","plainCitation":"(Timmermans, 1997)","noteIndex":18},"citationItems":[{"id":3538,"uris":["http://zotero.org/users/1070015/items/AB49XR2R"],"uri":["http://zotero.org/users/1070015/items/AB49XR2R"],"itemData":{"id":3538,"type":"article-journal","container-title":"Common Market Law Review","page":"1229","title":"How Can One Improve the Quality of Community Legislation?","volume":"34","author":[{"family":"Timmermans","given":"C"}],"issued":{"date-parts":[["1997"]]}}}],"schema":"https://github.com/citation-style-language/schema/raw/master/csl-citation.json"} </w:instrText>
      </w:r>
      <w:r w:rsidRPr="00E11170">
        <w:rPr>
          <w:rFonts w:ascii="Garamond" w:hAnsi="Garamond"/>
        </w:rPr>
        <w:fldChar w:fldCharType="separate"/>
      </w:r>
      <w:r w:rsidRPr="00E11170">
        <w:rPr>
          <w:rFonts w:ascii="Garamond" w:hAnsi="Garamond"/>
          <w:noProof/>
        </w:rPr>
        <w:t>Timmermans</w:t>
      </w:r>
      <w:r>
        <w:rPr>
          <w:rFonts w:ascii="Garamond" w:hAnsi="Garamond"/>
          <w:noProof/>
        </w:rPr>
        <w:t xml:space="preserve"> (</w:t>
      </w:r>
      <w:r w:rsidRPr="00E11170">
        <w:rPr>
          <w:rFonts w:ascii="Garamond" w:hAnsi="Garamond"/>
          <w:noProof/>
        </w:rPr>
        <w:t>1997)</w:t>
      </w:r>
      <w:r w:rsidRPr="00E11170">
        <w:rPr>
          <w:rFonts w:ascii="Garamond" w:hAnsi="Garamond"/>
        </w:rPr>
        <w:fldChar w:fldCharType="end"/>
      </w:r>
      <w:r w:rsidRPr="00E11170">
        <w:rPr>
          <w:rFonts w:ascii="Garamond" w:hAnsi="Garamond"/>
        </w:rPr>
        <w:t xml:space="preserve">; </w:t>
      </w:r>
      <w:r>
        <w:rPr>
          <w:rFonts w:ascii="Garamond" w:hAnsi="Garamond"/>
        </w:rPr>
        <w:t xml:space="preserve">Commission of the European Communities (2002); </w:t>
      </w:r>
      <w:r w:rsidRPr="00E11170">
        <w:rPr>
          <w:rFonts w:ascii="Garamond" w:hAnsi="Garamond"/>
        </w:rPr>
        <w:t>also see High Level Group on the Operation of Internal Market</w:t>
      </w:r>
      <w:r>
        <w:rPr>
          <w:rFonts w:ascii="Garamond" w:hAnsi="Garamond"/>
        </w:rPr>
        <w:t>(1992)</w:t>
      </w:r>
      <w:r w:rsidRPr="00E11170">
        <w:rPr>
          <w:rFonts w:ascii="Garamond" w:hAnsi="Garamond"/>
        </w:rPr>
        <w:t xml:space="preserve">; also Office of </w:t>
      </w:r>
      <w:r>
        <w:rPr>
          <w:rFonts w:ascii="Garamond" w:hAnsi="Garamond"/>
        </w:rPr>
        <w:t xml:space="preserve">the </w:t>
      </w:r>
      <w:r w:rsidRPr="00E11170">
        <w:rPr>
          <w:rFonts w:ascii="Garamond" w:hAnsi="Garamond"/>
        </w:rPr>
        <w:t>Parliamentary Counsel</w:t>
      </w:r>
      <w:r>
        <w:rPr>
          <w:rFonts w:ascii="Garamond" w:hAnsi="Garamond"/>
        </w:rPr>
        <w:t xml:space="preserve"> (2011)</w:t>
      </w:r>
      <w:r w:rsidRPr="00E11170">
        <w:rPr>
          <w:rFonts w:ascii="Garamond" w:hAnsi="Garamond"/>
        </w:rPr>
        <w:t xml:space="preserve">; </w:t>
      </w:r>
      <w:r w:rsidRPr="00CF5BF6">
        <w:rPr>
          <w:rFonts w:ascii="Garamond" w:hAnsi="Garamond"/>
        </w:rPr>
        <w:t>and Office of the Parliamentary Counsel (201</w:t>
      </w:r>
      <w:r w:rsidR="009E17D5">
        <w:rPr>
          <w:rFonts w:ascii="Garamond" w:hAnsi="Garamond"/>
        </w:rPr>
        <w:t>4</w:t>
      </w:r>
      <w:r w:rsidRPr="00CF5BF6">
        <w:rPr>
          <w:rFonts w:ascii="Garamond" w:hAnsi="Garamond"/>
        </w:rPr>
        <w:t>).</w:t>
      </w:r>
    </w:p>
  </w:footnote>
  <w:footnote w:id="5">
    <w:p w14:paraId="27DD7331" w14:textId="77777777" w:rsidR="00CF5BF6" w:rsidRPr="00E11170" w:rsidRDefault="00CF5BF6" w:rsidP="00AC367D">
      <w:pPr>
        <w:pStyle w:val="FootnoteText"/>
        <w:rPr>
          <w:rFonts w:ascii="Garamond" w:hAnsi="Garamond"/>
        </w:rPr>
      </w:pPr>
      <w:r w:rsidRPr="00E11170">
        <w:rPr>
          <w:rStyle w:val="FootnoteReference"/>
          <w:rFonts w:ascii="Garamond" w:hAnsi="Garamond"/>
        </w:rPr>
        <w:footnoteRef/>
      </w:r>
      <w:r w:rsidRPr="00E11170">
        <w:rPr>
          <w:rFonts w:ascii="Garamond" w:hAnsi="Garamond"/>
        </w:rPr>
        <w:t xml:space="preserve"> This is </w:t>
      </w:r>
      <w:proofErr w:type="spellStart"/>
      <w:r w:rsidRPr="00E11170">
        <w:rPr>
          <w:rFonts w:ascii="Garamond" w:hAnsi="Garamond"/>
        </w:rPr>
        <w:t>Mousmouti’s</w:t>
      </w:r>
      <w:proofErr w:type="spellEnd"/>
      <w:r w:rsidRPr="00E11170">
        <w:rPr>
          <w:rFonts w:ascii="Garamond" w:hAnsi="Garamond"/>
        </w:rPr>
        <w:t xml:space="preserve"> effectiveness test.</w:t>
      </w:r>
    </w:p>
  </w:footnote>
  <w:footnote w:id="6">
    <w:p w14:paraId="7598EB4D" w14:textId="77777777" w:rsidR="00CF5BF6" w:rsidRPr="00E11170" w:rsidRDefault="00CF5BF6" w:rsidP="00AC367D">
      <w:pPr>
        <w:pStyle w:val="FootnoteText"/>
        <w:rPr>
          <w:rFonts w:ascii="Garamond" w:hAnsi="Garamond"/>
        </w:rPr>
      </w:pPr>
      <w:r w:rsidRPr="00E11170">
        <w:rPr>
          <w:rStyle w:val="FootnoteReference"/>
          <w:rFonts w:ascii="Garamond" w:hAnsi="Garamond"/>
        </w:rPr>
        <w:footnoteRef/>
      </w:r>
      <w:r w:rsidRPr="00E11170">
        <w:rPr>
          <w:rFonts w:ascii="Garamond" w:hAnsi="Garamond"/>
        </w:rPr>
        <w:t xml:space="preserve"> See </w:t>
      </w:r>
      <w:hyperlink r:id="rId2" w:history="1">
        <w:r w:rsidRPr="00E11170">
          <w:rPr>
            <w:rStyle w:val="Hyperlink"/>
            <w:rFonts w:ascii="Garamond" w:hAnsi="Garamond"/>
          </w:rPr>
          <w:t>https://www.gov.uk/good-law</w:t>
        </w:r>
      </w:hyperlink>
      <w:r w:rsidRPr="00E11170">
        <w:rPr>
          <w:rFonts w:ascii="Garamond" w:hAnsi="Garamond"/>
        </w:rPr>
        <w:t xml:space="preserve">. </w:t>
      </w:r>
    </w:p>
  </w:footnote>
  <w:footnote w:id="7">
    <w:p w14:paraId="5EF00F8F" w14:textId="682BC57C" w:rsidR="00CF5BF6" w:rsidRPr="00E11170" w:rsidRDefault="00CF5BF6" w:rsidP="00AC367D">
      <w:pPr>
        <w:pStyle w:val="FootnoteText"/>
        <w:rPr>
          <w:rFonts w:ascii="Garamond" w:hAnsi="Garamond"/>
          <w:noProof/>
        </w:rPr>
      </w:pPr>
      <w:r w:rsidRPr="00E11170">
        <w:rPr>
          <w:rStyle w:val="FootnoteReference"/>
          <w:rFonts w:ascii="Garamond" w:hAnsi="Garamond"/>
        </w:rPr>
        <w:footnoteRef/>
      </w:r>
      <w:r w:rsidRPr="00E11170">
        <w:rPr>
          <w:rFonts w:ascii="Garamond" w:hAnsi="Garamond"/>
        </w:rPr>
        <w:t xml:space="preserve"> For a full analysis of gender neutral drafting, see </w:t>
      </w:r>
      <w:r w:rsidRPr="00E11170">
        <w:rPr>
          <w:rFonts w:ascii="Garamond" w:hAnsi="Garamond"/>
        </w:rPr>
        <w:fldChar w:fldCharType="begin"/>
      </w:r>
      <w:r w:rsidRPr="00E11170">
        <w:rPr>
          <w:rFonts w:ascii="Garamond" w:hAnsi="Garamond"/>
        </w:rPr>
        <w:instrText xml:space="preserve"> ADDIN ZOTERO_ITEM CSL_CITATION {"citationID":"BP83rgbJ","properties":{"formattedCitation":"(Xanthaki, 2014, p. 103)","plainCitation":"(Xanthaki, 2014, p. 103)","noteIndex":25},"citationItems":[{"id":736,"uris":["http://zotero.org/users/1070015/items/37H9AMDN"],"uri":["http://zotero.org/users/1070015/items/37H9AMDN"],"itemData":{"id":736,"type":"book","abstract":"This book constitutes the first thorough academic analysis of legislative drafting. By placing the study of legislation and its principles within the paradigm of Flyvberg's phronetic social sciences, it offers a novel approach which breaks the tradition of unimaginative past descriptive reiterations of drafting conventions. Instead of prescribing rules for legislation, it sets out to identify efficacy as the main aim of the actors in the policy, legislative and drafting processes, and effectiveness as the main goal in the drafting of legislation. Through the prism of effectiveness as synonymous with legislative quality, the book explores the stages of the drafting process; guides the reader through structure and sections in their logical sequence, and introduces rules for drafting preliminary, substantive and final provisions. Special provisions, comparative legislative drafting and training for drafters complete this thorough analysis of the drafting of legislation as a tool for regulation. Instead of teaching the reader which drafting rules prevail, the book explores the reasons why drafting rules have come about, thus encouraging readers to understand what goal is served by each rule and how each rule applies. The book is aimed at academics and practitioners who draft or use statutory law in the common or civil law traditions.","ISBN":"978-1-78225-507-9","language":"en","note":"Google-Books-ID: AzLtBQAAQBAJ","number-of-pages":"402","publisher":"Bloomsbury Publishing","source":"Google Books","title":"Drafting Legislation: Art and Technology of Rules for Regulation","title-short":"Drafting Legislation","author":[{"family":"Xanthaki","given":"Helen"}],"issued":{"date-parts":[["2014",10,16]]}},"locator":"103","label":"page"}],"schema":"https://github.com/citation-style-language/schema/raw/master/csl-citation.json"} </w:instrText>
      </w:r>
      <w:r w:rsidRPr="00E11170">
        <w:rPr>
          <w:rFonts w:ascii="Garamond" w:hAnsi="Garamond"/>
        </w:rPr>
        <w:fldChar w:fldCharType="separate"/>
      </w:r>
      <w:r>
        <w:rPr>
          <w:rFonts w:ascii="Garamond" w:hAnsi="Garamond"/>
          <w:noProof/>
        </w:rPr>
        <w:t>X</w:t>
      </w:r>
      <w:r w:rsidRPr="00E11170">
        <w:rPr>
          <w:rFonts w:ascii="Garamond" w:hAnsi="Garamond"/>
          <w:noProof/>
        </w:rPr>
        <w:t>anthaki</w:t>
      </w:r>
      <w:r>
        <w:rPr>
          <w:rFonts w:ascii="Garamond" w:hAnsi="Garamond"/>
          <w:noProof/>
        </w:rPr>
        <w:t xml:space="preserve"> (</w:t>
      </w:r>
      <w:r w:rsidRPr="00E11170">
        <w:rPr>
          <w:rFonts w:ascii="Garamond" w:hAnsi="Garamond"/>
          <w:noProof/>
        </w:rPr>
        <w:t>2014</w:t>
      </w:r>
      <w:r>
        <w:rPr>
          <w:rFonts w:ascii="Garamond" w:hAnsi="Garamond"/>
          <w:noProof/>
        </w:rPr>
        <w:t>)</w:t>
      </w:r>
      <w:r w:rsidRPr="00E11170">
        <w:rPr>
          <w:rFonts w:ascii="Garamond" w:hAnsi="Garamond"/>
          <w:noProof/>
        </w:rPr>
        <w:t>, p. 103</w:t>
      </w:r>
      <w:r>
        <w:rPr>
          <w:rFonts w:ascii="Garamond" w:hAnsi="Garamond"/>
          <w:noProof/>
        </w:rPr>
        <w:t>.</w:t>
      </w:r>
      <w:r w:rsidRPr="00E11170">
        <w:rPr>
          <w:rFonts w:ascii="Garamond" w:hAnsi="Garamond"/>
        </w:rPr>
        <w:fldChar w:fldCharType="end"/>
      </w:r>
    </w:p>
  </w:footnote>
  <w:footnote w:id="8">
    <w:p w14:paraId="5E5F3745" w14:textId="024A3D0E" w:rsidR="00271B57" w:rsidRDefault="00271B57">
      <w:pPr>
        <w:pStyle w:val="FootnoteText"/>
      </w:pPr>
      <w:r>
        <w:rPr>
          <w:rStyle w:val="FootnoteReference"/>
        </w:rPr>
        <w:footnoteRef/>
      </w:r>
      <w:r>
        <w:t xml:space="preserve"> </w:t>
      </w:r>
      <w:r>
        <w:rPr>
          <w:rFonts w:ascii="Garamond" w:hAnsi="Garamond"/>
        </w:rPr>
        <w:t xml:space="preserve">See UNESCO’s Guidelines on Gender-Neutral Language: </w:t>
      </w:r>
      <w:proofErr w:type="spellStart"/>
      <w:r>
        <w:rPr>
          <w:rFonts w:ascii="Garamond" w:hAnsi="Garamond"/>
        </w:rPr>
        <w:t>Desprez-Bouanchaud</w:t>
      </w:r>
      <w:proofErr w:type="spellEnd"/>
      <w:r>
        <w:rPr>
          <w:rFonts w:ascii="Garamond" w:hAnsi="Garamond"/>
        </w:rPr>
        <w:t xml:space="preserve"> et al (1999).</w:t>
      </w:r>
    </w:p>
  </w:footnote>
  <w:footnote w:id="9">
    <w:p w14:paraId="3349C780" w14:textId="409A9D13" w:rsidR="00CF5BF6" w:rsidRPr="00E11170" w:rsidRDefault="00CF5BF6" w:rsidP="00AC367D">
      <w:pPr>
        <w:pStyle w:val="FootnoteText"/>
        <w:rPr>
          <w:rFonts w:ascii="Garamond" w:hAnsi="Garamond"/>
        </w:rPr>
      </w:pPr>
      <w:r w:rsidRPr="00E11170">
        <w:rPr>
          <w:rStyle w:val="FootnoteReference"/>
          <w:rFonts w:ascii="Garamond" w:hAnsi="Garamond"/>
        </w:rPr>
        <w:footnoteRef/>
      </w:r>
      <w:r w:rsidRPr="00E11170">
        <w:rPr>
          <w:rFonts w:ascii="Garamond" w:hAnsi="Garamond"/>
        </w:rPr>
        <w:t xml:space="preserve"> From the point of view of legislative expression</w:t>
      </w:r>
      <w:r>
        <w:rPr>
          <w:rFonts w:ascii="Garamond" w:hAnsi="Garamond"/>
        </w:rPr>
        <w:t>,</w:t>
      </w:r>
      <w:r w:rsidRPr="00E11170">
        <w:rPr>
          <w:rFonts w:ascii="Garamond" w:hAnsi="Garamond"/>
        </w:rPr>
        <w:t xml:space="preserve"> experiences of eliminating race from legislative language can be used to guide the drafter in possible way</w:t>
      </w:r>
      <w:r>
        <w:rPr>
          <w:rFonts w:ascii="Garamond" w:hAnsi="Garamond"/>
        </w:rPr>
        <w:t>s</w:t>
      </w:r>
      <w:r w:rsidRPr="00E11170">
        <w:rPr>
          <w:rFonts w:ascii="Garamond" w:hAnsi="Garamond"/>
        </w:rPr>
        <w:t xml:space="preserve"> forward for the elimination of sex and gender from legislative language.</w:t>
      </w:r>
    </w:p>
  </w:footnote>
  <w:footnote w:id="10">
    <w:p w14:paraId="307751EB" w14:textId="77777777" w:rsidR="00CF5BF6" w:rsidRPr="00E11170" w:rsidRDefault="00CF5BF6" w:rsidP="00AC367D">
      <w:pPr>
        <w:pStyle w:val="FootnoteText"/>
        <w:rPr>
          <w:rFonts w:ascii="Garamond" w:hAnsi="Garamond"/>
          <w:bCs/>
          <w:iCs/>
        </w:rPr>
      </w:pPr>
      <w:r w:rsidRPr="00E11170">
        <w:rPr>
          <w:rStyle w:val="FootnoteReference"/>
          <w:rFonts w:ascii="Garamond" w:hAnsi="Garamond"/>
        </w:rPr>
        <w:footnoteRef/>
      </w:r>
      <w:r w:rsidRPr="00E11170">
        <w:rPr>
          <w:rFonts w:ascii="Garamond" w:hAnsi="Garamond"/>
        </w:rPr>
        <w:t xml:space="preserve"> </w:t>
      </w:r>
      <w:r w:rsidRPr="00E11170">
        <w:rPr>
          <w:rFonts w:ascii="Garamond" w:hAnsi="Garamond"/>
          <w:bCs/>
          <w:iCs/>
        </w:rPr>
        <w:t xml:space="preserve">See </w:t>
      </w:r>
      <w:r w:rsidRPr="00E11170">
        <w:rPr>
          <w:rFonts w:ascii="Garamond" w:hAnsi="Garamond"/>
        </w:rPr>
        <w:t>the statement of the Leader of the House of Commons HC Deb 8 March 2007, c146 WS. See also the debates in the House of Lords in 2013 and 2018: HL Deb 12 December 2013 cols 1004- 1016; HL Deb 25 June 2018 cols 7-9.</w:t>
      </w:r>
    </w:p>
  </w:footnote>
  <w:footnote w:id="11">
    <w:p w14:paraId="6C8E64BB" w14:textId="77777777" w:rsidR="00CF5BF6" w:rsidRPr="00E11170" w:rsidRDefault="00CF5BF6" w:rsidP="00AC367D">
      <w:pPr>
        <w:pStyle w:val="FootnoteText"/>
        <w:rPr>
          <w:rFonts w:ascii="Garamond" w:hAnsi="Garamond"/>
        </w:rPr>
      </w:pPr>
      <w:r w:rsidRPr="00E11170">
        <w:rPr>
          <w:rStyle w:val="FootnoteReference"/>
          <w:rFonts w:ascii="Garamond" w:hAnsi="Garamond"/>
        </w:rPr>
        <w:footnoteRef/>
      </w:r>
      <w:r w:rsidRPr="00E11170">
        <w:rPr>
          <w:rFonts w:ascii="Garamond" w:hAnsi="Garamond"/>
        </w:rPr>
        <w:t xml:space="preserve"> See for example section 6 of the UK Interpretation Act 1978.</w:t>
      </w:r>
    </w:p>
  </w:footnote>
  <w:footnote w:id="12">
    <w:p w14:paraId="5F723949" w14:textId="7B84FDE4" w:rsidR="00CF5BF6" w:rsidRPr="00E11170" w:rsidRDefault="00CF5BF6" w:rsidP="00AC367D">
      <w:pPr>
        <w:pStyle w:val="FootnoteText"/>
        <w:rPr>
          <w:rFonts w:ascii="Garamond" w:hAnsi="Garamond"/>
        </w:rPr>
      </w:pPr>
      <w:r w:rsidRPr="00E11170">
        <w:rPr>
          <w:rStyle w:val="FootnoteReference"/>
          <w:rFonts w:ascii="Garamond" w:hAnsi="Garamond"/>
        </w:rPr>
        <w:footnoteRef/>
      </w:r>
      <w:r w:rsidRPr="00E11170">
        <w:rPr>
          <w:rFonts w:ascii="Garamond" w:hAnsi="Garamond"/>
        </w:rPr>
        <w:t xml:space="preserve"> See </w:t>
      </w:r>
      <w:r w:rsidR="003D193A">
        <w:rPr>
          <w:rFonts w:ascii="Garamond" w:hAnsi="Garamond"/>
        </w:rPr>
        <w:t xml:space="preserve">OPC, </w:t>
      </w:r>
      <w:r w:rsidRPr="00E11170">
        <w:rPr>
          <w:rFonts w:ascii="Garamond" w:hAnsi="Garamond"/>
        </w:rPr>
        <w:t xml:space="preserve">“Gender-neutral drafting techniques”, Drafting Techniques Group Paper 23 (final) </w:t>
      </w:r>
      <w:r w:rsidR="003D193A">
        <w:rPr>
          <w:rFonts w:ascii="Garamond" w:hAnsi="Garamond"/>
        </w:rPr>
        <w:t>(</w:t>
      </w:r>
      <w:r w:rsidRPr="00E11170">
        <w:rPr>
          <w:rFonts w:ascii="Garamond" w:hAnsi="Garamond"/>
        </w:rPr>
        <w:t>December 2008</w:t>
      </w:r>
      <w:r w:rsidR="003D193A">
        <w:rPr>
          <w:rFonts w:ascii="Garamond" w:hAnsi="Garamond"/>
        </w:rPr>
        <w:t>)</w:t>
      </w:r>
      <w:r w:rsidRPr="00E11170">
        <w:rPr>
          <w:rFonts w:ascii="Garamond" w:hAnsi="Garamond"/>
        </w:rPr>
        <w:t>.</w:t>
      </w:r>
    </w:p>
  </w:footnote>
  <w:footnote w:id="13">
    <w:p w14:paraId="17E0297A" w14:textId="78D40DDF" w:rsidR="00CF5BF6" w:rsidRPr="00E11170" w:rsidRDefault="00CF5BF6" w:rsidP="00AC367D">
      <w:pPr>
        <w:pStyle w:val="FootnoteText"/>
        <w:rPr>
          <w:rFonts w:ascii="Garamond" w:hAnsi="Garamond"/>
        </w:rPr>
      </w:pPr>
      <w:r w:rsidRPr="00E11170">
        <w:rPr>
          <w:rStyle w:val="FootnoteReference"/>
          <w:rFonts w:ascii="Garamond" w:hAnsi="Garamond"/>
        </w:rPr>
        <w:footnoteRef/>
      </w:r>
      <w:r w:rsidRPr="00E11170">
        <w:rPr>
          <w:rFonts w:ascii="Garamond" w:hAnsi="Garamond"/>
        </w:rPr>
        <w:t xml:space="preserve"> </w:t>
      </w:r>
      <w:r w:rsidRPr="00E11170">
        <w:rPr>
          <w:rFonts w:ascii="Garamond" w:hAnsi="Garamond"/>
          <w:bCs/>
        </w:rPr>
        <w:t>See the examples in the OED and Fowler’s Modern English Usage</w:t>
      </w:r>
      <w:r w:rsidR="00316B05">
        <w:rPr>
          <w:rFonts w:ascii="Garamond" w:hAnsi="Garamond"/>
          <w:bCs/>
        </w:rPr>
        <w:t xml:space="preserve"> </w:t>
      </w:r>
      <w:r w:rsidRPr="00E11170">
        <w:rPr>
          <w:rFonts w:ascii="Garamond" w:hAnsi="Garamond"/>
          <w:bCs/>
        </w:rPr>
        <w:t>(Burchfield</w:t>
      </w:r>
      <w:r w:rsidR="00316B05">
        <w:rPr>
          <w:rFonts w:ascii="Garamond" w:hAnsi="Garamond"/>
          <w:bCs/>
        </w:rPr>
        <w:t>,</w:t>
      </w:r>
      <w:r w:rsidRPr="00E11170">
        <w:rPr>
          <w:rFonts w:ascii="Garamond" w:hAnsi="Garamond"/>
          <w:bCs/>
        </w:rPr>
        <w:t xml:space="preserve"> 1996</w:t>
      </w:r>
      <w:r>
        <w:rPr>
          <w:rFonts w:ascii="Garamond" w:hAnsi="Garamond"/>
          <w:bCs/>
        </w:rPr>
        <w:t>)</w:t>
      </w:r>
      <w:r w:rsidRPr="00E11170">
        <w:rPr>
          <w:rFonts w:ascii="Garamond" w:hAnsi="Garamond"/>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8E3B" w14:textId="3FBB03FA" w:rsidR="00783006" w:rsidRDefault="00783006">
    <w:pPr>
      <w:pStyle w:val="Header"/>
    </w:pPr>
    <w:r>
      <w:t xml:space="preserve">Helen </w:t>
    </w:r>
    <w:proofErr w:type="spellStart"/>
    <w:r>
      <w:t>Xanthaki</w:t>
    </w:r>
    <w:proofErr w:type="spellEnd"/>
    <w:r>
      <w:tab/>
    </w:r>
    <w:r>
      <w:tab/>
      <w:t>Gender inclusive legislative drafting</w:t>
    </w:r>
  </w:p>
  <w:p w14:paraId="04945156" w14:textId="3D67D106" w:rsidR="00783006" w:rsidRDefault="00783006">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4CB9B" w14:textId="6D616196" w:rsidR="00783006" w:rsidRDefault="00783006">
    <w:pPr>
      <w:pStyle w:val="Header"/>
    </w:pPr>
    <w:proofErr w:type="spellStart"/>
    <w:r>
      <w:rPr>
        <w:i/>
      </w:rPr>
      <w:t>feminists@law</w:t>
    </w:r>
    <w:proofErr w:type="spellEnd"/>
    <w:r>
      <w:tab/>
    </w:r>
    <w:r>
      <w:tab/>
      <w:t>Vol 10, No 2 (2020)</w:t>
    </w:r>
  </w:p>
  <w:p w14:paraId="4BE99F1E" w14:textId="4C7C9443" w:rsidR="00783006" w:rsidRPr="00783006" w:rsidRDefault="00783006">
    <w:pPr>
      <w:pStyle w:val="Header"/>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8011F"/>
    <w:multiLevelType w:val="hybridMultilevel"/>
    <w:tmpl w:val="B50AB732"/>
    <w:lvl w:ilvl="0" w:tplc="2B3A9E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924E27"/>
    <w:multiLevelType w:val="hybridMultilevel"/>
    <w:tmpl w:val="C3DEAD42"/>
    <w:lvl w:ilvl="0" w:tplc="0B760F6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FE0174"/>
    <w:multiLevelType w:val="hybridMultilevel"/>
    <w:tmpl w:val="B84229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4A13A2"/>
    <w:multiLevelType w:val="hybridMultilevel"/>
    <w:tmpl w:val="EFD8C3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960FFE"/>
    <w:multiLevelType w:val="hybridMultilevel"/>
    <w:tmpl w:val="9056AAF8"/>
    <w:lvl w:ilvl="0" w:tplc="8D92A38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45BD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0BA6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C838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A66E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6F2F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EF9D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909D2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786F9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6A"/>
    <w:rsid w:val="00003B66"/>
    <w:rsid w:val="00012E7B"/>
    <w:rsid w:val="00014269"/>
    <w:rsid w:val="00015720"/>
    <w:rsid w:val="00021ECC"/>
    <w:rsid w:val="00023922"/>
    <w:rsid w:val="00031F0E"/>
    <w:rsid w:val="0003566C"/>
    <w:rsid w:val="0003779D"/>
    <w:rsid w:val="0004392A"/>
    <w:rsid w:val="00044889"/>
    <w:rsid w:val="00061415"/>
    <w:rsid w:val="00065F4F"/>
    <w:rsid w:val="00070FAC"/>
    <w:rsid w:val="00073526"/>
    <w:rsid w:val="00077AEF"/>
    <w:rsid w:val="00082489"/>
    <w:rsid w:val="00086988"/>
    <w:rsid w:val="0009291E"/>
    <w:rsid w:val="00096CFA"/>
    <w:rsid w:val="00097D5A"/>
    <w:rsid w:val="000A0460"/>
    <w:rsid w:val="000B1C98"/>
    <w:rsid w:val="000B5CDB"/>
    <w:rsid w:val="000B7963"/>
    <w:rsid w:val="000C4CA7"/>
    <w:rsid w:val="000C73E4"/>
    <w:rsid w:val="000D133A"/>
    <w:rsid w:val="000D179F"/>
    <w:rsid w:val="000D5BA6"/>
    <w:rsid w:val="000D7245"/>
    <w:rsid w:val="000E1A39"/>
    <w:rsid w:val="000E7353"/>
    <w:rsid w:val="000E78DF"/>
    <w:rsid w:val="000F572C"/>
    <w:rsid w:val="000F6CA7"/>
    <w:rsid w:val="001039BC"/>
    <w:rsid w:val="00104C13"/>
    <w:rsid w:val="00106CE3"/>
    <w:rsid w:val="0010704A"/>
    <w:rsid w:val="001113E0"/>
    <w:rsid w:val="00121645"/>
    <w:rsid w:val="0012164C"/>
    <w:rsid w:val="00123FEC"/>
    <w:rsid w:val="00124A32"/>
    <w:rsid w:val="00126C08"/>
    <w:rsid w:val="001375E8"/>
    <w:rsid w:val="001405E0"/>
    <w:rsid w:val="00140C19"/>
    <w:rsid w:val="00141C16"/>
    <w:rsid w:val="001444DF"/>
    <w:rsid w:val="00145ABA"/>
    <w:rsid w:val="00154042"/>
    <w:rsid w:val="00165FCA"/>
    <w:rsid w:val="00172B9F"/>
    <w:rsid w:val="0017496F"/>
    <w:rsid w:val="00182B95"/>
    <w:rsid w:val="0018359D"/>
    <w:rsid w:val="00195F1F"/>
    <w:rsid w:val="00196965"/>
    <w:rsid w:val="00196C46"/>
    <w:rsid w:val="001A0DCF"/>
    <w:rsid w:val="001A6789"/>
    <w:rsid w:val="001A72C7"/>
    <w:rsid w:val="001B17B2"/>
    <w:rsid w:val="001B35D5"/>
    <w:rsid w:val="001B44B7"/>
    <w:rsid w:val="001B4888"/>
    <w:rsid w:val="001B518F"/>
    <w:rsid w:val="001D1D10"/>
    <w:rsid w:val="001D1E13"/>
    <w:rsid w:val="001E44D1"/>
    <w:rsid w:val="001E4B78"/>
    <w:rsid w:val="002072F6"/>
    <w:rsid w:val="00217531"/>
    <w:rsid w:val="0022169E"/>
    <w:rsid w:val="00225BF6"/>
    <w:rsid w:val="00234D17"/>
    <w:rsid w:val="00241620"/>
    <w:rsid w:val="00241E44"/>
    <w:rsid w:val="00244270"/>
    <w:rsid w:val="00250F75"/>
    <w:rsid w:val="0025407F"/>
    <w:rsid w:val="00257053"/>
    <w:rsid w:val="00262694"/>
    <w:rsid w:val="00265268"/>
    <w:rsid w:val="00271A55"/>
    <w:rsid w:val="00271B57"/>
    <w:rsid w:val="00273181"/>
    <w:rsid w:val="002826EE"/>
    <w:rsid w:val="002851B0"/>
    <w:rsid w:val="002975CF"/>
    <w:rsid w:val="002A0CC2"/>
    <w:rsid w:val="002A1CEB"/>
    <w:rsid w:val="002A7C10"/>
    <w:rsid w:val="002B3FCB"/>
    <w:rsid w:val="002B6ABD"/>
    <w:rsid w:val="002C04E5"/>
    <w:rsid w:val="002D6F07"/>
    <w:rsid w:val="002D798C"/>
    <w:rsid w:val="002F0763"/>
    <w:rsid w:val="002F1272"/>
    <w:rsid w:val="002F1C91"/>
    <w:rsid w:val="002F2004"/>
    <w:rsid w:val="002F34D9"/>
    <w:rsid w:val="002F7238"/>
    <w:rsid w:val="003052AE"/>
    <w:rsid w:val="003122E9"/>
    <w:rsid w:val="00313921"/>
    <w:rsid w:val="00316B05"/>
    <w:rsid w:val="00316CB3"/>
    <w:rsid w:val="00320410"/>
    <w:rsid w:val="00320500"/>
    <w:rsid w:val="0032299F"/>
    <w:rsid w:val="00322D7E"/>
    <w:rsid w:val="00325913"/>
    <w:rsid w:val="00337423"/>
    <w:rsid w:val="0034090D"/>
    <w:rsid w:val="003410E9"/>
    <w:rsid w:val="0034672A"/>
    <w:rsid w:val="00347D7E"/>
    <w:rsid w:val="00350885"/>
    <w:rsid w:val="00351EA2"/>
    <w:rsid w:val="003557A0"/>
    <w:rsid w:val="003574A0"/>
    <w:rsid w:val="003605B2"/>
    <w:rsid w:val="0036176F"/>
    <w:rsid w:val="00362F98"/>
    <w:rsid w:val="00364FDF"/>
    <w:rsid w:val="00374E58"/>
    <w:rsid w:val="00376EB0"/>
    <w:rsid w:val="003770C6"/>
    <w:rsid w:val="00381252"/>
    <w:rsid w:val="003852B5"/>
    <w:rsid w:val="00390BFF"/>
    <w:rsid w:val="0039450C"/>
    <w:rsid w:val="003970F3"/>
    <w:rsid w:val="00397183"/>
    <w:rsid w:val="003A110E"/>
    <w:rsid w:val="003A3F66"/>
    <w:rsid w:val="003A57C9"/>
    <w:rsid w:val="003A59BC"/>
    <w:rsid w:val="003A5F6E"/>
    <w:rsid w:val="003B041C"/>
    <w:rsid w:val="003B12B7"/>
    <w:rsid w:val="003B5F4C"/>
    <w:rsid w:val="003C40F8"/>
    <w:rsid w:val="003C5742"/>
    <w:rsid w:val="003C79CC"/>
    <w:rsid w:val="003D193A"/>
    <w:rsid w:val="003D1B46"/>
    <w:rsid w:val="003D271C"/>
    <w:rsid w:val="003D5839"/>
    <w:rsid w:val="003D6C69"/>
    <w:rsid w:val="003D7BA9"/>
    <w:rsid w:val="003E37FB"/>
    <w:rsid w:val="003E4E00"/>
    <w:rsid w:val="003E5B06"/>
    <w:rsid w:val="003E5F71"/>
    <w:rsid w:val="003E6ED9"/>
    <w:rsid w:val="003E72A4"/>
    <w:rsid w:val="003F3991"/>
    <w:rsid w:val="003F592A"/>
    <w:rsid w:val="00401582"/>
    <w:rsid w:val="00406E3A"/>
    <w:rsid w:val="00406F6C"/>
    <w:rsid w:val="00407594"/>
    <w:rsid w:val="004113CC"/>
    <w:rsid w:val="00411B6F"/>
    <w:rsid w:val="00413DE5"/>
    <w:rsid w:val="004153A2"/>
    <w:rsid w:val="0041648D"/>
    <w:rsid w:val="00420CD3"/>
    <w:rsid w:val="00421A2B"/>
    <w:rsid w:val="004250D5"/>
    <w:rsid w:val="00427B17"/>
    <w:rsid w:val="00433165"/>
    <w:rsid w:val="00434E7A"/>
    <w:rsid w:val="00440FA1"/>
    <w:rsid w:val="0044483B"/>
    <w:rsid w:val="0044688F"/>
    <w:rsid w:val="0045051C"/>
    <w:rsid w:val="00450520"/>
    <w:rsid w:val="00475605"/>
    <w:rsid w:val="00486059"/>
    <w:rsid w:val="00487946"/>
    <w:rsid w:val="00491089"/>
    <w:rsid w:val="004948EF"/>
    <w:rsid w:val="004A0497"/>
    <w:rsid w:val="004A11AD"/>
    <w:rsid w:val="004A2DA9"/>
    <w:rsid w:val="004A6EA0"/>
    <w:rsid w:val="004B1359"/>
    <w:rsid w:val="004C1D0D"/>
    <w:rsid w:val="004C3030"/>
    <w:rsid w:val="004D418B"/>
    <w:rsid w:val="004F0139"/>
    <w:rsid w:val="004F4435"/>
    <w:rsid w:val="004F6427"/>
    <w:rsid w:val="00512139"/>
    <w:rsid w:val="00517211"/>
    <w:rsid w:val="00530EA1"/>
    <w:rsid w:val="00532922"/>
    <w:rsid w:val="00537F14"/>
    <w:rsid w:val="00553AE3"/>
    <w:rsid w:val="0056637F"/>
    <w:rsid w:val="00567F47"/>
    <w:rsid w:val="00571031"/>
    <w:rsid w:val="00572E79"/>
    <w:rsid w:val="0057426B"/>
    <w:rsid w:val="00575D28"/>
    <w:rsid w:val="00583585"/>
    <w:rsid w:val="005877AB"/>
    <w:rsid w:val="0059196C"/>
    <w:rsid w:val="005A045E"/>
    <w:rsid w:val="005A0BAE"/>
    <w:rsid w:val="005A3290"/>
    <w:rsid w:val="005A3CDC"/>
    <w:rsid w:val="005A4AA0"/>
    <w:rsid w:val="005A4D2D"/>
    <w:rsid w:val="005A5ADD"/>
    <w:rsid w:val="005B2FDC"/>
    <w:rsid w:val="005B5544"/>
    <w:rsid w:val="005D0508"/>
    <w:rsid w:val="005D18E8"/>
    <w:rsid w:val="005D405E"/>
    <w:rsid w:val="005D5791"/>
    <w:rsid w:val="005D7971"/>
    <w:rsid w:val="005F02B3"/>
    <w:rsid w:val="005F176D"/>
    <w:rsid w:val="005F4126"/>
    <w:rsid w:val="005F4831"/>
    <w:rsid w:val="005F6BAB"/>
    <w:rsid w:val="005F7C5E"/>
    <w:rsid w:val="00601880"/>
    <w:rsid w:val="00601FD1"/>
    <w:rsid w:val="0062254A"/>
    <w:rsid w:val="00624116"/>
    <w:rsid w:val="0062587A"/>
    <w:rsid w:val="006331D9"/>
    <w:rsid w:val="00651A82"/>
    <w:rsid w:val="00662ED1"/>
    <w:rsid w:val="00672471"/>
    <w:rsid w:val="0067372C"/>
    <w:rsid w:val="00674410"/>
    <w:rsid w:val="00677D04"/>
    <w:rsid w:val="00680101"/>
    <w:rsid w:val="00687C72"/>
    <w:rsid w:val="006906E5"/>
    <w:rsid w:val="006A1B95"/>
    <w:rsid w:val="006A401F"/>
    <w:rsid w:val="006A6F24"/>
    <w:rsid w:val="006B1F1C"/>
    <w:rsid w:val="006B4F3E"/>
    <w:rsid w:val="006B56FD"/>
    <w:rsid w:val="006B573C"/>
    <w:rsid w:val="006B5B86"/>
    <w:rsid w:val="006C0E0F"/>
    <w:rsid w:val="006C0F03"/>
    <w:rsid w:val="006C781A"/>
    <w:rsid w:val="006D003D"/>
    <w:rsid w:val="006D639E"/>
    <w:rsid w:val="006E4867"/>
    <w:rsid w:val="006F3389"/>
    <w:rsid w:val="006F5355"/>
    <w:rsid w:val="006F6D71"/>
    <w:rsid w:val="0071096D"/>
    <w:rsid w:val="00711C7D"/>
    <w:rsid w:val="00713DFE"/>
    <w:rsid w:val="007257E4"/>
    <w:rsid w:val="00734B2C"/>
    <w:rsid w:val="00740162"/>
    <w:rsid w:val="0074217E"/>
    <w:rsid w:val="00744504"/>
    <w:rsid w:val="00750B5E"/>
    <w:rsid w:val="0076008F"/>
    <w:rsid w:val="00760731"/>
    <w:rsid w:val="0076279F"/>
    <w:rsid w:val="00762C46"/>
    <w:rsid w:val="0076366F"/>
    <w:rsid w:val="00783006"/>
    <w:rsid w:val="00790AC8"/>
    <w:rsid w:val="00796286"/>
    <w:rsid w:val="00796E41"/>
    <w:rsid w:val="0079735E"/>
    <w:rsid w:val="007A4E50"/>
    <w:rsid w:val="007A6E03"/>
    <w:rsid w:val="007B39A6"/>
    <w:rsid w:val="007B3B8B"/>
    <w:rsid w:val="007B515F"/>
    <w:rsid w:val="007B6446"/>
    <w:rsid w:val="007C1FED"/>
    <w:rsid w:val="007C37F9"/>
    <w:rsid w:val="007C4E52"/>
    <w:rsid w:val="007C7F82"/>
    <w:rsid w:val="007D1C04"/>
    <w:rsid w:val="007D4233"/>
    <w:rsid w:val="007D744F"/>
    <w:rsid w:val="007E51F3"/>
    <w:rsid w:val="007E6D23"/>
    <w:rsid w:val="008205A7"/>
    <w:rsid w:val="0082274E"/>
    <w:rsid w:val="008243AD"/>
    <w:rsid w:val="008245F7"/>
    <w:rsid w:val="00826B3B"/>
    <w:rsid w:val="00826ED5"/>
    <w:rsid w:val="00827C5D"/>
    <w:rsid w:val="0083279F"/>
    <w:rsid w:val="00834D0F"/>
    <w:rsid w:val="00846B89"/>
    <w:rsid w:val="00850562"/>
    <w:rsid w:val="008533E2"/>
    <w:rsid w:val="00863D47"/>
    <w:rsid w:val="008703E8"/>
    <w:rsid w:val="008723AB"/>
    <w:rsid w:val="008747F5"/>
    <w:rsid w:val="0087597B"/>
    <w:rsid w:val="00880451"/>
    <w:rsid w:val="008846FA"/>
    <w:rsid w:val="00885EFA"/>
    <w:rsid w:val="00894D48"/>
    <w:rsid w:val="008A16D2"/>
    <w:rsid w:val="008A3BE0"/>
    <w:rsid w:val="008A417F"/>
    <w:rsid w:val="008A46C8"/>
    <w:rsid w:val="008A699F"/>
    <w:rsid w:val="008B525C"/>
    <w:rsid w:val="008B5542"/>
    <w:rsid w:val="008C4700"/>
    <w:rsid w:val="008D3C98"/>
    <w:rsid w:val="008D51FD"/>
    <w:rsid w:val="008E3633"/>
    <w:rsid w:val="008E7418"/>
    <w:rsid w:val="008F40B6"/>
    <w:rsid w:val="008F4B29"/>
    <w:rsid w:val="008F4DBE"/>
    <w:rsid w:val="008F4EF6"/>
    <w:rsid w:val="008F5503"/>
    <w:rsid w:val="008F7C68"/>
    <w:rsid w:val="009008BE"/>
    <w:rsid w:val="00901910"/>
    <w:rsid w:val="0090347D"/>
    <w:rsid w:val="0090570E"/>
    <w:rsid w:val="009066BB"/>
    <w:rsid w:val="00907DA1"/>
    <w:rsid w:val="009102AD"/>
    <w:rsid w:val="009108F0"/>
    <w:rsid w:val="00916BB9"/>
    <w:rsid w:val="00921220"/>
    <w:rsid w:val="0094098F"/>
    <w:rsid w:val="00940AC5"/>
    <w:rsid w:val="00944B16"/>
    <w:rsid w:val="00945868"/>
    <w:rsid w:val="00950762"/>
    <w:rsid w:val="00957830"/>
    <w:rsid w:val="00974103"/>
    <w:rsid w:val="0097694A"/>
    <w:rsid w:val="0098138E"/>
    <w:rsid w:val="00981DE8"/>
    <w:rsid w:val="00982BEA"/>
    <w:rsid w:val="00985D3E"/>
    <w:rsid w:val="00987796"/>
    <w:rsid w:val="0099386F"/>
    <w:rsid w:val="009B135C"/>
    <w:rsid w:val="009B225A"/>
    <w:rsid w:val="009B40FF"/>
    <w:rsid w:val="009B4952"/>
    <w:rsid w:val="009B5036"/>
    <w:rsid w:val="009C5EA2"/>
    <w:rsid w:val="009D4744"/>
    <w:rsid w:val="009D5F43"/>
    <w:rsid w:val="009D6A20"/>
    <w:rsid w:val="009E17D5"/>
    <w:rsid w:val="009E2234"/>
    <w:rsid w:val="009E2FE5"/>
    <w:rsid w:val="009E3755"/>
    <w:rsid w:val="009F1708"/>
    <w:rsid w:val="009F68FF"/>
    <w:rsid w:val="00A02A7B"/>
    <w:rsid w:val="00A14F7C"/>
    <w:rsid w:val="00A21FF4"/>
    <w:rsid w:val="00A26071"/>
    <w:rsid w:val="00A2686E"/>
    <w:rsid w:val="00A3016B"/>
    <w:rsid w:val="00A3551C"/>
    <w:rsid w:val="00A36487"/>
    <w:rsid w:val="00A463B3"/>
    <w:rsid w:val="00A47AC0"/>
    <w:rsid w:val="00A54400"/>
    <w:rsid w:val="00A604CE"/>
    <w:rsid w:val="00A61A80"/>
    <w:rsid w:val="00A63092"/>
    <w:rsid w:val="00A7691A"/>
    <w:rsid w:val="00A76C72"/>
    <w:rsid w:val="00A81770"/>
    <w:rsid w:val="00A844FC"/>
    <w:rsid w:val="00A85729"/>
    <w:rsid w:val="00AA0F56"/>
    <w:rsid w:val="00AA2DBA"/>
    <w:rsid w:val="00AA5658"/>
    <w:rsid w:val="00AA57A9"/>
    <w:rsid w:val="00AA6A16"/>
    <w:rsid w:val="00AC1962"/>
    <w:rsid w:val="00AC367D"/>
    <w:rsid w:val="00AC79FF"/>
    <w:rsid w:val="00AD29E4"/>
    <w:rsid w:val="00AD302D"/>
    <w:rsid w:val="00AD6D8E"/>
    <w:rsid w:val="00AE1A93"/>
    <w:rsid w:val="00AE3058"/>
    <w:rsid w:val="00AE35D5"/>
    <w:rsid w:val="00AF016A"/>
    <w:rsid w:val="00AF1C6E"/>
    <w:rsid w:val="00AF224D"/>
    <w:rsid w:val="00B000EC"/>
    <w:rsid w:val="00B10A74"/>
    <w:rsid w:val="00B22E01"/>
    <w:rsid w:val="00B25503"/>
    <w:rsid w:val="00B44AE4"/>
    <w:rsid w:val="00B44D47"/>
    <w:rsid w:val="00B459A2"/>
    <w:rsid w:val="00B67C0A"/>
    <w:rsid w:val="00B744B6"/>
    <w:rsid w:val="00B75453"/>
    <w:rsid w:val="00B76173"/>
    <w:rsid w:val="00B77CBA"/>
    <w:rsid w:val="00B82D4C"/>
    <w:rsid w:val="00B92498"/>
    <w:rsid w:val="00B943A3"/>
    <w:rsid w:val="00B94998"/>
    <w:rsid w:val="00BB669B"/>
    <w:rsid w:val="00BB75C8"/>
    <w:rsid w:val="00BC150F"/>
    <w:rsid w:val="00BC4873"/>
    <w:rsid w:val="00BD0803"/>
    <w:rsid w:val="00BD0BB9"/>
    <w:rsid w:val="00BD3247"/>
    <w:rsid w:val="00BD5739"/>
    <w:rsid w:val="00BD6272"/>
    <w:rsid w:val="00BE7AD7"/>
    <w:rsid w:val="00C00C57"/>
    <w:rsid w:val="00C01464"/>
    <w:rsid w:val="00C01A1E"/>
    <w:rsid w:val="00C05ADD"/>
    <w:rsid w:val="00C1080C"/>
    <w:rsid w:val="00C131C6"/>
    <w:rsid w:val="00C17EAA"/>
    <w:rsid w:val="00C247EE"/>
    <w:rsid w:val="00C32174"/>
    <w:rsid w:val="00C347AC"/>
    <w:rsid w:val="00C35DD4"/>
    <w:rsid w:val="00C40D02"/>
    <w:rsid w:val="00C44358"/>
    <w:rsid w:val="00C46DC4"/>
    <w:rsid w:val="00C51462"/>
    <w:rsid w:val="00C61D83"/>
    <w:rsid w:val="00C65754"/>
    <w:rsid w:val="00C71FE6"/>
    <w:rsid w:val="00C75158"/>
    <w:rsid w:val="00C75525"/>
    <w:rsid w:val="00C75EB8"/>
    <w:rsid w:val="00C803AD"/>
    <w:rsid w:val="00C80C6F"/>
    <w:rsid w:val="00C93AE1"/>
    <w:rsid w:val="00C93FFF"/>
    <w:rsid w:val="00CA20C3"/>
    <w:rsid w:val="00CB0938"/>
    <w:rsid w:val="00CB172B"/>
    <w:rsid w:val="00CB2270"/>
    <w:rsid w:val="00CB6CC4"/>
    <w:rsid w:val="00CC141C"/>
    <w:rsid w:val="00CC2982"/>
    <w:rsid w:val="00CC358E"/>
    <w:rsid w:val="00CC54A8"/>
    <w:rsid w:val="00CD49E4"/>
    <w:rsid w:val="00CF0D23"/>
    <w:rsid w:val="00CF378D"/>
    <w:rsid w:val="00CF4948"/>
    <w:rsid w:val="00CF5BF6"/>
    <w:rsid w:val="00CF7E28"/>
    <w:rsid w:val="00D03C7C"/>
    <w:rsid w:val="00D05DBD"/>
    <w:rsid w:val="00D0797C"/>
    <w:rsid w:val="00D07C76"/>
    <w:rsid w:val="00D12009"/>
    <w:rsid w:val="00D16FF5"/>
    <w:rsid w:val="00D23D2B"/>
    <w:rsid w:val="00D24D0F"/>
    <w:rsid w:val="00D270B9"/>
    <w:rsid w:val="00D27118"/>
    <w:rsid w:val="00D317D7"/>
    <w:rsid w:val="00D33EF2"/>
    <w:rsid w:val="00D40008"/>
    <w:rsid w:val="00D40B33"/>
    <w:rsid w:val="00D42E1F"/>
    <w:rsid w:val="00D5070D"/>
    <w:rsid w:val="00D51861"/>
    <w:rsid w:val="00D532CB"/>
    <w:rsid w:val="00D56066"/>
    <w:rsid w:val="00D5612D"/>
    <w:rsid w:val="00D617ED"/>
    <w:rsid w:val="00D645A4"/>
    <w:rsid w:val="00D654BF"/>
    <w:rsid w:val="00D731D3"/>
    <w:rsid w:val="00D736BB"/>
    <w:rsid w:val="00D736BC"/>
    <w:rsid w:val="00D7381D"/>
    <w:rsid w:val="00D757EE"/>
    <w:rsid w:val="00D76C38"/>
    <w:rsid w:val="00D82DC5"/>
    <w:rsid w:val="00D82F00"/>
    <w:rsid w:val="00D93BBD"/>
    <w:rsid w:val="00D9490A"/>
    <w:rsid w:val="00D95A2D"/>
    <w:rsid w:val="00DA0A57"/>
    <w:rsid w:val="00DA44B0"/>
    <w:rsid w:val="00DB2916"/>
    <w:rsid w:val="00DB4B81"/>
    <w:rsid w:val="00DC177B"/>
    <w:rsid w:val="00DC639B"/>
    <w:rsid w:val="00DC70C6"/>
    <w:rsid w:val="00DE342B"/>
    <w:rsid w:val="00DE528D"/>
    <w:rsid w:val="00DE60F9"/>
    <w:rsid w:val="00E0004C"/>
    <w:rsid w:val="00E0697C"/>
    <w:rsid w:val="00E07810"/>
    <w:rsid w:val="00E11170"/>
    <w:rsid w:val="00E12532"/>
    <w:rsid w:val="00E12C0A"/>
    <w:rsid w:val="00E14A01"/>
    <w:rsid w:val="00E24C89"/>
    <w:rsid w:val="00E25294"/>
    <w:rsid w:val="00E27189"/>
    <w:rsid w:val="00E319E5"/>
    <w:rsid w:val="00E409B7"/>
    <w:rsid w:val="00E40DD8"/>
    <w:rsid w:val="00E431CD"/>
    <w:rsid w:val="00E43FC3"/>
    <w:rsid w:val="00E50972"/>
    <w:rsid w:val="00E55736"/>
    <w:rsid w:val="00E61804"/>
    <w:rsid w:val="00E61887"/>
    <w:rsid w:val="00E635C0"/>
    <w:rsid w:val="00E63922"/>
    <w:rsid w:val="00E65539"/>
    <w:rsid w:val="00E714E2"/>
    <w:rsid w:val="00E73F45"/>
    <w:rsid w:val="00E8044B"/>
    <w:rsid w:val="00E90956"/>
    <w:rsid w:val="00E915D2"/>
    <w:rsid w:val="00E91646"/>
    <w:rsid w:val="00E92C4F"/>
    <w:rsid w:val="00E938C8"/>
    <w:rsid w:val="00E9511B"/>
    <w:rsid w:val="00E95C37"/>
    <w:rsid w:val="00EA0BA6"/>
    <w:rsid w:val="00EA1477"/>
    <w:rsid w:val="00EA5C41"/>
    <w:rsid w:val="00EB0EDE"/>
    <w:rsid w:val="00EB2075"/>
    <w:rsid w:val="00EB66E5"/>
    <w:rsid w:val="00EC79F6"/>
    <w:rsid w:val="00ED513D"/>
    <w:rsid w:val="00EE2AA2"/>
    <w:rsid w:val="00EE2FDE"/>
    <w:rsid w:val="00EE3E7B"/>
    <w:rsid w:val="00EE443E"/>
    <w:rsid w:val="00EE6BAC"/>
    <w:rsid w:val="00EF4027"/>
    <w:rsid w:val="00F022E2"/>
    <w:rsid w:val="00F12778"/>
    <w:rsid w:val="00F12A8B"/>
    <w:rsid w:val="00F13E69"/>
    <w:rsid w:val="00F17929"/>
    <w:rsid w:val="00F21690"/>
    <w:rsid w:val="00F2227E"/>
    <w:rsid w:val="00F2237A"/>
    <w:rsid w:val="00F272C8"/>
    <w:rsid w:val="00F34E22"/>
    <w:rsid w:val="00F52CF2"/>
    <w:rsid w:val="00F5631D"/>
    <w:rsid w:val="00F56386"/>
    <w:rsid w:val="00F57628"/>
    <w:rsid w:val="00F612F5"/>
    <w:rsid w:val="00F61608"/>
    <w:rsid w:val="00F64FB0"/>
    <w:rsid w:val="00F67AF2"/>
    <w:rsid w:val="00F705C4"/>
    <w:rsid w:val="00F901B7"/>
    <w:rsid w:val="00F95624"/>
    <w:rsid w:val="00FA316A"/>
    <w:rsid w:val="00FA33D7"/>
    <w:rsid w:val="00FA6D33"/>
    <w:rsid w:val="00FB69DE"/>
    <w:rsid w:val="00FC4049"/>
    <w:rsid w:val="00FD5186"/>
    <w:rsid w:val="00FD7CF4"/>
    <w:rsid w:val="00FE1699"/>
    <w:rsid w:val="00FE6D86"/>
    <w:rsid w:val="00FF0609"/>
    <w:rsid w:val="00FF4F5C"/>
    <w:rsid w:val="00FF75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4574E5"/>
  <w15:docId w15:val="{9413DB2C-C943-468B-B8BD-FF6471C4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139"/>
  </w:style>
  <w:style w:type="paragraph" w:styleId="Heading1">
    <w:name w:val="heading 1"/>
    <w:basedOn w:val="Normal"/>
    <w:next w:val="Normal"/>
    <w:link w:val="Heading1Char"/>
    <w:uiPriority w:val="9"/>
    <w:qFormat/>
    <w:rsid w:val="00182B95"/>
    <w:pPr>
      <w:spacing w:line="240" w:lineRule="auto"/>
      <w:outlineLvl w:val="0"/>
    </w:pPr>
    <w:rPr>
      <w:rFonts w:ascii="Garamond" w:hAnsi="Garamond" w:cs="Times New Roman"/>
      <w:b/>
      <w:sz w:val="28"/>
      <w:szCs w:val="28"/>
    </w:rPr>
  </w:style>
  <w:style w:type="paragraph" w:styleId="Heading2">
    <w:name w:val="heading 2"/>
    <w:basedOn w:val="Normal"/>
    <w:next w:val="Normal"/>
    <w:link w:val="Heading2Char"/>
    <w:uiPriority w:val="9"/>
    <w:unhideWhenUsed/>
    <w:qFormat/>
    <w:rsid w:val="00182B95"/>
    <w:pPr>
      <w:spacing w:line="480" w:lineRule="auto"/>
      <w:contextualSpacing/>
      <w:jc w:val="both"/>
      <w:outlineLvl w:val="1"/>
    </w:pPr>
    <w:rPr>
      <w:rFonts w:ascii="Garamond" w:hAnsi="Garamond" w:cs="Times New Roman"/>
      <w:b/>
      <w:bCs/>
      <w:i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1F3"/>
    <w:pPr>
      <w:ind w:left="720"/>
      <w:contextualSpacing/>
    </w:pPr>
  </w:style>
  <w:style w:type="character" w:customStyle="1" w:styleId="apple-style-span">
    <w:name w:val="apple-style-span"/>
    <w:basedOn w:val="DefaultParagraphFont"/>
    <w:rsid w:val="00F17929"/>
  </w:style>
  <w:style w:type="paragraph" w:styleId="FootnoteText">
    <w:name w:val="footnote text"/>
    <w:basedOn w:val="Normal"/>
    <w:link w:val="FootnoteTextChar"/>
    <w:uiPriority w:val="99"/>
    <w:rsid w:val="00F1792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F1792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F17929"/>
    <w:rPr>
      <w:vertAlign w:val="superscript"/>
    </w:rPr>
  </w:style>
  <w:style w:type="character" w:styleId="Emphasis">
    <w:name w:val="Emphasis"/>
    <w:basedOn w:val="DefaultParagraphFont"/>
    <w:uiPriority w:val="20"/>
    <w:qFormat/>
    <w:rsid w:val="00F17929"/>
    <w:rPr>
      <w:i/>
      <w:iCs/>
    </w:rPr>
  </w:style>
  <w:style w:type="paragraph" w:customStyle="1" w:styleId="NormalJustified">
    <w:name w:val="Normal + Justified"/>
    <w:aliases w:val="First line:  36 pt"/>
    <w:basedOn w:val="Normal"/>
    <w:link w:val="NormalJustifiedChar"/>
    <w:rsid w:val="00F17929"/>
    <w:pPr>
      <w:spacing w:after="0" w:line="240" w:lineRule="auto"/>
      <w:ind w:firstLine="720"/>
      <w:jc w:val="both"/>
    </w:pPr>
    <w:rPr>
      <w:rFonts w:ascii="Times New Roman" w:eastAsia="Times New Roman" w:hAnsi="Times New Roman" w:cs="Times New Roman"/>
      <w:sz w:val="24"/>
      <w:szCs w:val="24"/>
    </w:rPr>
  </w:style>
  <w:style w:type="character" w:customStyle="1" w:styleId="NormalJustifiedChar">
    <w:name w:val="Normal + Justified Char"/>
    <w:aliases w:val="First line:  36 pt Char"/>
    <w:basedOn w:val="DefaultParagraphFont"/>
    <w:link w:val="NormalJustified"/>
    <w:rsid w:val="00F179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7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929"/>
    <w:rPr>
      <w:rFonts w:ascii="Tahoma" w:hAnsi="Tahoma" w:cs="Tahoma"/>
      <w:sz w:val="16"/>
      <w:szCs w:val="16"/>
    </w:rPr>
  </w:style>
  <w:style w:type="character" w:styleId="EndnoteReference">
    <w:name w:val="endnote reference"/>
    <w:uiPriority w:val="99"/>
    <w:rsid w:val="005A4D2D"/>
    <w:rPr>
      <w:rFonts w:cs="GLMKP E+ Helvetica Neue"/>
      <w:color w:val="000000"/>
    </w:rPr>
  </w:style>
  <w:style w:type="character" w:customStyle="1" w:styleId="Heading2Char">
    <w:name w:val="Heading 2 Char"/>
    <w:basedOn w:val="DefaultParagraphFont"/>
    <w:link w:val="Heading2"/>
    <w:uiPriority w:val="9"/>
    <w:rsid w:val="00182B95"/>
    <w:rPr>
      <w:rFonts w:ascii="Garamond" w:hAnsi="Garamond" w:cs="Times New Roman"/>
      <w:b/>
      <w:bCs/>
      <w:iCs/>
      <w:color w:val="000000" w:themeColor="text1"/>
      <w:sz w:val="24"/>
      <w:szCs w:val="24"/>
    </w:rPr>
  </w:style>
  <w:style w:type="character" w:styleId="Hyperlink">
    <w:name w:val="Hyperlink"/>
    <w:basedOn w:val="DefaultParagraphFont"/>
    <w:uiPriority w:val="99"/>
    <w:unhideWhenUsed/>
    <w:rsid w:val="00D23D2B"/>
    <w:rPr>
      <w:color w:val="0000FF" w:themeColor="hyperlink"/>
      <w:u w:val="single"/>
    </w:rPr>
  </w:style>
  <w:style w:type="character" w:customStyle="1" w:styleId="Heading1Char">
    <w:name w:val="Heading 1 Char"/>
    <w:basedOn w:val="DefaultParagraphFont"/>
    <w:link w:val="Heading1"/>
    <w:uiPriority w:val="9"/>
    <w:rsid w:val="00182B95"/>
    <w:rPr>
      <w:rFonts w:ascii="Garamond" w:hAnsi="Garamond" w:cs="Times New Roman"/>
      <w:b/>
      <w:sz w:val="28"/>
      <w:szCs w:val="28"/>
    </w:rPr>
  </w:style>
  <w:style w:type="paragraph" w:customStyle="1" w:styleId="3vff3xh4yd">
    <w:name w:val="_3vff3xh4yd"/>
    <w:basedOn w:val="Normal"/>
    <w:rsid w:val="008723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description">
    <w:name w:val="footnote description"/>
    <w:next w:val="Normal"/>
    <w:link w:val="footnotedescriptionChar"/>
    <w:hidden/>
    <w:rsid w:val="005A4AA0"/>
    <w:pPr>
      <w:spacing w:after="4" w:line="259" w:lineRule="auto"/>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5A4AA0"/>
    <w:rPr>
      <w:rFonts w:ascii="Times New Roman" w:eastAsia="Times New Roman" w:hAnsi="Times New Roman" w:cs="Times New Roman"/>
      <w:color w:val="000000"/>
      <w:sz w:val="20"/>
      <w:lang w:eastAsia="en-GB"/>
    </w:rPr>
  </w:style>
  <w:style w:type="character" w:customStyle="1" w:styleId="footnotemark">
    <w:name w:val="footnote mark"/>
    <w:hidden/>
    <w:rsid w:val="005A4AA0"/>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2826EE"/>
    <w:rPr>
      <w:sz w:val="18"/>
      <w:szCs w:val="18"/>
    </w:rPr>
  </w:style>
  <w:style w:type="paragraph" w:styleId="CommentText">
    <w:name w:val="annotation text"/>
    <w:basedOn w:val="Normal"/>
    <w:link w:val="CommentTextChar"/>
    <w:uiPriority w:val="99"/>
    <w:unhideWhenUsed/>
    <w:rsid w:val="002826EE"/>
    <w:pPr>
      <w:spacing w:line="240" w:lineRule="auto"/>
    </w:pPr>
    <w:rPr>
      <w:sz w:val="24"/>
      <w:szCs w:val="24"/>
    </w:rPr>
  </w:style>
  <w:style w:type="character" w:customStyle="1" w:styleId="CommentTextChar">
    <w:name w:val="Comment Text Char"/>
    <w:basedOn w:val="DefaultParagraphFont"/>
    <w:link w:val="CommentText"/>
    <w:uiPriority w:val="99"/>
    <w:rsid w:val="002826EE"/>
    <w:rPr>
      <w:sz w:val="24"/>
      <w:szCs w:val="24"/>
    </w:rPr>
  </w:style>
  <w:style w:type="paragraph" w:styleId="CommentSubject">
    <w:name w:val="annotation subject"/>
    <w:basedOn w:val="CommentText"/>
    <w:next w:val="CommentText"/>
    <w:link w:val="CommentSubjectChar"/>
    <w:uiPriority w:val="99"/>
    <w:semiHidden/>
    <w:unhideWhenUsed/>
    <w:rsid w:val="002826EE"/>
    <w:rPr>
      <w:b/>
      <w:bCs/>
      <w:sz w:val="20"/>
      <w:szCs w:val="20"/>
    </w:rPr>
  </w:style>
  <w:style w:type="character" w:customStyle="1" w:styleId="CommentSubjectChar">
    <w:name w:val="Comment Subject Char"/>
    <w:basedOn w:val="CommentTextChar"/>
    <w:link w:val="CommentSubject"/>
    <w:uiPriority w:val="99"/>
    <w:semiHidden/>
    <w:rsid w:val="002826EE"/>
    <w:rPr>
      <w:b/>
      <w:bCs/>
      <w:sz w:val="20"/>
      <w:szCs w:val="20"/>
    </w:rPr>
  </w:style>
  <w:style w:type="paragraph" w:styleId="NormalWeb">
    <w:name w:val="Normal (Web)"/>
    <w:basedOn w:val="Normal"/>
    <w:uiPriority w:val="99"/>
    <w:unhideWhenUsed/>
    <w:rsid w:val="00AE3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D1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8E8"/>
  </w:style>
  <w:style w:type="character" w:styleId="PageNumber">
    <w:name w:val="page number"/>
    <w:basedOn w:val="DefaultParagraphFont"/>
    <w:uiPriority w:val="99"/>
    <w:semiHidden/>
    <w:unhideWhenUsed/>
    <w:rsid w:val="005D18E8"/>
  </w:style>
  <w:style w:type="paragraph" w:styleId="Bibliography">
    <w:name w:val="Bibliography"/>
    <w:basedOn w:val="Normal"/>
    <w:next w:val="Normal"/>
    <w:uiPriority w:val="37"/>
    <w:unhideWhenUsed/>
    <w:rsid w:val="00362F98"/>
    <w:pPr>
      <w:spacing w:after="0" w:line="240" w:lineRule="auto"/>
      <w:ind w:left="720" w:hanging="720"/>
    </w:pPr>
  </w:style>
  <w:style w:type="character" w:customStyle="1" w:styleId="personname">
    <w:name w:val="person_name"/>
    <w:basedOn w:val="DefaultParagraphFont"/>
    <w:rsid w:val="00A76C72"/>
  </w:style>
  <w:style w:type="character" w:customStyle="1" w:styleId="apple-converted-space">
    <w:name w:val="apple-converted-space"/>
    <w:basedOn w:val="DefaultParagraphFont"/>
    <w:rsid w:val="00A76C72"/>
  </w:style>
  <w:style w:type="character" w:styleId="FollowedHyperlink">
    <w:name w:val="FollowedHyperlink"/>
    <w:basedOn w:val="DefaultParagraphFont"/>
    <w:uiPriority w:val="99"/>
    <w:semiHidden/>
    <w:unhideWhenUsed/>
    <w:rsid w:val="002D6F07"/>
    <w:rPr>
      <w:color w:val="800080" w:themeColor="followedHyperlink"/>
      <w:u w:val="single"/>
    </w:rPr>
  </w:style>
  <w:style w:type="character" w:customStyle="1" w:styleId="UnresolvedMention1">
    <w:name w:val="Unresolved Mention1"/>
    <w:basedOn w:val="DefaultParagraphFont"/>
    <w:uiPriority w:val="99"/>
    <w:semiHidden/>
    <w:unhideWhenUsed/>
    <w:rsid w:val="00517211"/>
    <w:rPr>
      <w:color w:val="605E5C"/>
      <w:shd w:val="clear" w:color="auto" w:fill="E1DFDD"/>
    </w:rPr>
  </w:style>
  <w:style w:type="paragraph" w:styleId="Header">
    <w:name w:val="header"/>
    <w:basedOn w:val="Normal"/>
    <w:link w:val="HeaderChar"/>
    <w:uiPriority w:val="99"/>
    <w:unhideWhenUsed/>
    <w:rsid w:val="0078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36964">
      <w:bodyDiv w:val="1"/>
      <w:marLeft w:val="0"/>
      <w:marRight w:val="0"/>
      <w:marTop w:val="0"/>
      <w:marBottom w:val="0"/>
      <w:divBdr>
        <w:top w:val="none" w:sz="0" w:space="0" w:color="auto"/>
        <w:left w:val="none" w:sz="0" w:space="0" w:color="auto"/>
        <w:bottom w:val="none" w:sz="0" w:space="0" w:color="auto"/>
        <w:right w:val="none" w:sz="0" w:space="0" w:color="auto"/>
      </w:divBdr>
    </w:div>
    <w:div w:id="206916861">
      <w:bodyDiv w:val="1"/>
      <w:marLeft w:val="120"/>
      <w:marRight w:val="120"/>
      <w:marTop w:val="0"/>
      <w:marBottom w:val="0"/>
      <w:divBdr>
        <w:top w:val="none" w:sz="0" w:space="0" w:color="auto"/>
        <w:left w:val="none" w:sz="0" w:space="0" w:color="auto"/>
        <w:bottom w:val="none" w:sz="0" w:space="0" w:color="auto"/>
        <w:right w:val="none" w:sz="0" w:space="0" w:color="auto"/>
      </w:divBdr>
      <w:divsChild>
        <w:div w:id="1909416287">
          <w:marLeft w:val="0"/>
          <w:marRight w:val="0"/>
          <w:marTop w:val="0"/>
          <w:marBottom w:val="0"/>
          <w:divBdr>
            <w:top w:val="none" w:sz="0" w:space="0" w:color="auto"/>
            <w:left w:val="none" w:sz="0" w:space="0" w:color="auto"/>
            <w:bottom w:val="none" w:sz="0" w:space="0" w:color="auto"/>
            <w:right w:val="none" w:sz="0" w:space="0" w:color="auto"/>
          </w:divBdr>
          <w:divsChild>
            <w:div w:id="1990014045">
              <w:marLeft w:val="0"/>
              <w:marRight w:val="0"/>
              <w:marTop w:val="0"/>
              <w:marBottom w:val="0"/>
              <w:divBdr>
                <w:top w:val="none" w:sz="0" w:space="0" w:color="auto"/>
                <w:left w:val="none" w:sz="0" w:space="0" w:color="auto"/>
                <w:bottom w:val="none" w:sz="0" w:space="0" w:color="auto"/>
                <w:right w:val="none" w:sz="0" w:space="0" w:color="auto"/>
              </w:divBdr>
              <w:divsChild>
                <w:div w:id="295450377">
                  <w:marLeft w:val="0"/>
                  <w:marRight w:val="0"/>
                  <w:marTop w:val="0"/>
                  <w:marBottom w:val="0"/>
                  <w:divBdr>
                    <w:top w:val="none" w:sz="0" w:space="0" w:color="auto"/>
                    <w:left w:val="none" w:sz="0" w:space="0" w:color="auto"/>
                    <w:bottom w:val="none" w:sz="0" w:space="0" w:color="auto"/>
                    <w:right w:val="none" w:sz="0" w:space="0" w:color="auto"/>
                  </w:divBdr>
                  <w:divsChild>
                    <w:div w:id="2081440182">
                      <w:marLeft w:val="0"/>
                      <w:marRight w:val="0"/>
                      <w:marTop w:val="0"/>
                      <w:marBottom w:val="0"/>
                      <w:divBdr>
                        <w:top w:val="none" w:sz="0" w:space="0" w:color="auto"/>
                        <w:left w:val="none" w:sz="0" w:space="0" w:color="auto"/>
                        <w:bottom w:val="none" w:sz="0" w:space="0" w:color="auto"/>
                        <w:right w:val="none" w:sz="0" w:space="0" w:color="auto"/>
                      </w:divBdr>
                      <w:divsChild>
                        <w:div w:id="1348560616">
                          <w:marLeft w:val="0"/>
                          <w:marRight w:val="0"/>
                          <w:marTop w:val="0"/>
                          <w:marBottom w:val="0"/>
                          <w:divBdr>
                            <w:top w:val="none" w:sz="0" w:space="0" w:color="auto"/>
                            <w:left w:val="none" w:sz="0" w:space="0" w:color="auto"/>
                            <w:bottom w:val="none" w:sz="0" w:space="0" w:color="auto"/>
                            <w:right w:val="none" w:sz="0" w:space="0" w:color="auto"/>
                          </w:divBdr>
                          <w:divsChild>
                            <w:div w:id="120731954">
                              <w:marLeft w:val="0"/>
                              <w:marRight w:val="0"/>
                              <w:marTop w:val="0"/>
                              <w:marBottom w:val="0"/>
                              <w:divBdr>
                                <w:top w:val="none" w:sz="0" w:space="0" w:color="auto"/>
                                <w:left w:val="none" w:sz="0" w:space="0" w:color="auto"/>
                                <w:bottom w:val="none" w:sz="0" w:space="0" w:color="auto"/>
                                <w:right w:val="none" w:sz="0" w:space="0" w:color="auto"/>
                              </w:divBdr>
                              <w:divsChild>
                                <w:div w:id="1043293078">
                                  <w:marLeft w:val="0"/>
                                  <w:marRight w:val="0"/>
                                  <w:marTop w:val="0"/>
                                  <w:marBottom w:val="0"/>
                                  <w:divBdr>
                                    <w:top w:val="none" w:sz="0" w:space="0" w:color="auto"/>
                                    <w:left w:val="none" w:sz="0" w:space="0" w:color="auto"/>
                                    <w:bottom w:val="none" w:sz="0" w:space="0" w:color="auto"/>
                                    <w:right w:val="none" w:sz="0" w:space="0" w:color="auto"/>
                                  </w:divBdr>
                                  <w:divsChild>
                                    <w:div w:id="1435127551">
                                      <w:marLeft w:val="0"/>
                                      <w:marRight w:val="0"/>
                                      <w:marTop w:val="0"/>
                                      <w:marBottom w:val="0"/>
                                      <w:divBdr>
                                        <w:top w:val="none" w:sz="0" w:space="0" w:color="auto"/>
                                        <w:left w:val="none" w:sz="0" w:space="0" w:color="auto"/>
                                        <w:bottom w:val="none" w:sz="0" w:space="0" w:color="auto"/>
                                        <w:right w:val="none" w:sz="0" w:space="0" w:color="auto"/>
                                      </w:divBdr>
                                      <w:divsChild>
                                        <w:div w:id="1356881759">
                                          <w:marLeft w:val="0"/>
                                          <w:marRight w:val="0"/>
                                          <w:marTop w:val="0"/>
                                          <w:marBottom w:val="0"/>
                                          <w:divBdr>
                                            <w:top w:val="none" w:sz="0" w:space="0" w:color="auto"/>
                                            <w:left w:val="none" w:sz="0" w:space="0" w:color="auto"/>
                                            <w:bottom w:val="none" w:sz="0" w:space="0" w:color="auto"/>
                                            <w:right w:val="none" w:sz="0" w:space="0" w:color="auto"/>
                                          </w:divBdr>
                                          <w:divsChild>
                                            <w:div w:id="709305949">
                                              <w:marLeft w:val="0"/>
                                              <w:marRight w:val="0"/>
                                              <w:marTop w:val="30"/>
                                              <w:marBottom w:val="150"/>
                                              <w:divBdr>
                                                <w:top w:val="none" w:sz="0" w:space="0" w:color="auto"/>
                                                <w:left w:val="none" w:sz="0" w:space="0" w:color="auto"/>
                                                <w:bottom w:val="none" w:sz="0" w:space="0" w:color="auto"/>
                                                <w:right w:val="none" w:sz="0" w:space="0" w:color="auto"/>
                                              </w:divBdr>
                                            </w:div>
                                            <w:div w:id="21280388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000234">
      <w:bodyDiv w:val="1"/>
      <w:marLeft w:val="0"/>
      <w:marRight w:val="0"/>
      <w:marTop w:val="0"/>
      <w:marBottom w:val="0"/>
      <w:divBdr>
        <w:top w:val="none" w:sz="0" w:space="0" w:color="auto"/>
        <w:left w:val="none" w:sz="0" w:space="0" w:color="auto"/>
        <w:bottom w:val="none" w:sz="0" w:space="0" w:color="auto"/>
        <w:right w:val="none" w:sz="0" w:space="0" w:color="auto"/>
      </w:divBdr>
      <w:divsChild>
        <w:div w:id="499782174">
          <w:marLeft w:val="0"/>
          <w:marRight w:val="0"/>
          <w:marTop w:val="0"/>
          <w:marBottom w:val="0"/>
          <w:divBdr>
            <w:top w:val="none" w:sz="0" w:space="0" w:color="auto"/>
            <w:left w:val="none" w:sz="0" w:space="0" w:color="auto"/>
            <w:bottom w:val="none" w:sz="0" w:space="0" w:color="auto"/>
            <w:right w:val="none" w:sz="0" w:space="0" w:color="auto"/>
          </w:divBdr>
        </w:div>
      </w:divsChild>
    </w:div>
    <w:div w:id="410396573">
      <w:bodyDiv w:val="1"/>
      <w:marLeft w:val="0"/>
      <w:marRight w:val="0"/>
      <w:marTop w:val="0"/>
      <w:marBottom w:val="0"/>
      <w:divBdr>
        <w:top w:val="none" w:sz="0" w:space="0" w:color="auto"/>
        <w:left w:val="none" w:sz="0" w:space="0" w:color="auto"/>
        <w:bottom w:val="none" w:sz="0" w:space="0" w:color="auto"/>
        <w:right w:val="none" w:sz="0" w:space="0" w:color="auto"/>
      </w:divBdr>
      <w:divsChild>
        <w:div w:id="283928737">
          <w:marLeft w:val="0"/>
          <w:marRight w:val="0"/>
          <w:marTop w:val="0"/>
          <w:marBottom w:val="0"/>
          <w:divBdr>
            <w:top w:val="none" w:sz="0" w:space="0" w:color="auto"/>
            <w:left w:val="none" w:sz="0" w:space="0" w:color="auto"/>
            <w:bottom w:val="none" w:sz="0" w:space="0" w:color="auto"/>
            <w:right w:val="none" w:sz="0" w:space="0" w:color="auto"/>
          </w:divBdr>
          <w:divsChild>
            <w:div w:id="1955601534">
              <w:marLeft w:val="0"/>
              <w:marRight w:val="0"/>
              <w:marTop w:val="0"/>
              <w:marBottom w:val="0"/>
              <w:divBdr>
                <w:top w:val="none" w:sz="0" w:space="0" w:color="auto"/>
                <w:left w:val="none" w:sz="0" w:space="0" w:color="auto"/>
                <w:bottom w:val="none" w:sz="0" w:space="0" w:color="auto"/>
                <w:right w:val="none" w:sz="0" w:space="0" w:color="auto"/>
              </w:divBdr>
              <w:divsChild>
                <w:div w:id="834297028">
                  <w:marLeft w:val="0"/>
                  <w:marRight w:val="0"/>
                  <w:marTop w:val="0"/>
                  <w:marBottom w:val="0"/>
                  <w:divBdr>
                    <w:top w:val="none" w:sz="0" w:space="0" w:color="auto"/>
                    <w:left w:val="none" w:sz="0" w:space="0" w:color="auto"/>
                    <w:bottom w:val="none" w:sz="0" w:space="0" w:color="auto"/>
                    <w:right w:val="none" w:sz="0" w:space="0" w:color="auto"/>
                  </w:divBdr>
                  <w:divsChild>
                    <w:div w:id="280112">
                      <w:marLeft w:val="0"/>
                      <w:marRight w:val="0"/>
                      <w:marTop w:val="0"/>
                      <w:marBottom w:val="0"/>
                      <w:divBdr>
                        <w:top w:val="none" w:sz="0" w:space="0" w:color="auto"/>
                        <w:left w:val="none" w:sz="0" w:space="0" w:color="auto"/>
                        <w:bottom w:val="none" w:sz="0" w:space="0" w:color="auto"/>
                        <w:right w:val="none" w:sz="0" w:space="0" w:color="auto"/>
                      </w:divBdr>
                      <w:divsChild>
                        <w:div w:id="1547569576">
                          <w:marLeft w:val="0"/>
                          <w:marRight w:val="0"/>
                          <w:marTop w:val="0"/>
                          <w:marBottom w:val="0"/>
                          <w:divBdr>
                            <w:top w:val="none" w:sz="0" w:space="0" w:color="auto"/>
                            <w:left w:val="none" w:sz="0" w:space="0" w:color="auto"/>
                            <w:bottom w:val="none" w:sz="0" w:space="0" w:color="auto"/>
                            <w:right w:val="none" w:sz="0" w:space="0" w:color="auto"/>
                          </w:divBdr>
                          <w:divsChild>
                            <w:div w:id="1221019151">
                              <w:marLeft w:val="0"/>
                              <w:marRight w:val="0"/>
                              <w:marTop w:val="0"/>
                              <w:marBottom w:val="0"/>
                              <w:divBdr>
                                <w:top w:val="none" w:sz="0" w:space="0" w:color="auto"/>
                                <w:left w:val="none" w:sz="0" w:space="0" w:color="auto"/>
                                <w:bottom w:val="none" w:sz="0" w:space="0" w:color="auto"/>
                                <w:right w:val="none" w:sz="0" w:space="0" w:color="auto"/>
                              </w:divBdr>
                              <w:divsChild>
                                <w:div w:id="1311132015">
                                  <w:marLeft w:val="0"/>
                                  <w:marRight w:val="0"/>
                                  <w:marTop w:val="0"/>
                                  <w:marBottom w:val="0"/>
                                  <w:divBdr>
                                    <w:top w:val="none" w:sz="0" w:space="0" w:color="auto"/>
                                    <w:left w:val="none" w:sz="0" w:space="0" w:color="auto"/>
                                    <w:bottom w:val="none" w:sz="0" w:space="0" w:color="auto"/>
                                    <w:right w:val="none" w:sz="0" w:space="0" w:color="auto"/>
                                  </w:divBdr>
                                  <w:divsChild>
                                    <w:div w:id="1706368788">
                                      <w:marLeft w:val="0"/>
                                      <w:marRight w:val="0"/>
                                      <w:marTop w:val="0"/>
                                      <w:marBottom w:val="0"/>
                                      <w:divBdr>
                                        <w:top w:val="none" w:sz="0" w:space="0" w:color="auto"/>
                                        <w:left w:val="none" w:sz="0" w:space="0" w:color="auto"/>
                                        <w:bottom w:val="none" w:sz="0" w:space="0" w:color="auto"/>
                                        <w:right w:val="none" w:sz="0" w:space="0" w:color="auto"/>
                                      </w:divBdr>
                                    </w:div>
                                    <w:div w:id="19675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225078">
      <w:marLeft w:val="0"/>
      <w:marRight w:val="0"/>
      <w:marTop w:val="0"/>
      <w:marBottom w:val="0"/>
      <w:divBdr>
        <w:top w:val="none" w:sz="0" w:space="0" w:color="auto"/>
        <w:left w:val="none" w:sz="0" w:space="0" w:color="auto"/>
        <w:bottom w:val="none" w:sz="0" w:space="0" w:color="auto"/>
        <w:right w:val="none" w:sz="0" w:space="0" w:color="auto"/>
      </w:divBdr>
      <w:divsChild>
        <w:div w:id="1364868561">
          <w:marLeft w:val="0"/>
          <w:marRight w:val="0"/>
          <w:marTop w:val="0"/>
          <w:marBottom w:val="0"/>
          <w:divBdr>
            <w:top w:val="none" w:sz="0" w:space="0" w:color="auto"/>
            <w:left w:val="none" w:sz="0" w:space="0" w:color="auto"/>
            <w:bottom w:val="none" w:sz="0" w:space="0" w:color="auto"/>
            <w:right w:val="none" w:sz="0" w:space="0" w:color="auto"/>
          </w:divBdr>
          <w:divsChild>
            <w:div w:id="7100833">
              <w:marLeft w:val="0"/>
              <w:marRight w:val="0"/>
              <w:marTop w:val="0"/>
              <w:marBottom w:val="0"/>
              <w:divBdr>
                <w:top w:val="none" w:sz="0" w:space="0" w:color="auto"/>
                <w:left w:val="none" w:sz="0" w:space="0" w:color="auto"/>
                <w:bottom w:val="none" w:sz="0" w:space="0" w:color="auto"/>
                <w:right w:val="none" w:sz="0" w:space="0" w:color="auto"/>
              </w:divBdr>
              <w:divsChild>
                <w:div w:id="1669403469">
                  <w:marLeft w:val="0"/>
                  <w:marRight w:val="0"/>
                  <w:marTop w:val="0"/>
                  <w:marBottom w:val="0"/>
                  <w:divBdr>
                    <w:top w:val="none" w:sz="0" w:space="0" w:color="auto"/>
                    <w:left w:val="none" w:sz="0" w:space="0" w:color="auto"/>
                    <w:bottom w:val="none" w:sz="0" w:space="0" w:color="auto"/>
                    <w:right w:val="none" w:sz="0" w:space="0" w:color="auto"/>
                  </w:divBdr>
                </w:div>
              </w:divsChild>
            </w:div>
            <w:div w:id="601569306">
              <w:marLeft w:val="0"/>
              <w:marRight w:val="0"/>
              <w:marTop w:val="0"/>
              <w:marBottom w:val="0"/>
              <w:divBdr>
                <w:top w:val="none" w:sz="0" w:space="0" w:color="auto"/>
                <w:left w:val="none" w:sz="0" w:space="0" w:color="auto"/>
                <w:bottom w:val="none" w:sz="0" w:space="0" w:color="auto"/>
                <w:right w:val="none" w:sz="0" w:space="0" w:color="auto"/>
              </w:divBdr>
            </w:div>
          </w:divsChild>
        </w:div>
        <w:div w:id="1387951988">
          <w:marLeft w:val="0"/>
          <w:marRight w:val="0"/>
          <w:marTop w:val="0"/>
          <w:marBottom w:val="0"/>
          <w:divBdr>
            <w:top w:val="none" w:sz="0" w:space="0" w:color="auto"/>
            <w:left w:val="none" w:sz="0" w:space="0" w:color="auto"/>
            <w:bottom w:val="none" w:sz="0" w:space="0" w:color="auto"/>
            <w:right w:val="none" w:sz="0" w:space="0" w:color="auto"/>
          </w:divBdr>
          <w:divsChild>
            <w:div w:id="1361201783">
              <w:marLeft w:val="0"/>
              <w:marRight w:val="0"/>
              <w:marTop w:val="0"/>
              <w:marBottom w:val="0"/>
              <w:divBdr>
                <w:top w:val="none" w:sz="0" w:space="0" w:color="auto"/>
                <w:left w:val="none" w:sz="0" w:space="0" w:color="auto"/>
                <w:bottom w:val="none" w:sz="0" w:space="0" w:color="auto"/>
                <w:right w:val="none" w:sz="0" w:space="0" w:color="auto"/>
              </w:divBdr>
            </w:div>
            <w:div w:id="20338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2173">
      <w:bodyDiv w:val="1"/>
      <w:marLeft w:val="0"/>
      <w:marRight w:val="0"/>
      <w:marTop w:val="0"/>
      <w:marBottom w:val="0"/>
      <w:divBdr>
        <w:top w:val="none" w:sz="0" w:space="0" w:color="auto"/>
        <w:left w:val="none" w:sz="0" w:space="0" w:color="auto"/>
        <w:bottom w:val="none" w:sz="0" w:space="0" w:color="auto"/>
        <w:right w:val="none" w:sz="0" w:space="0" w:color="auto"/>
      </w:divBdr>
    </w:div>
    <w:div w:id="506019395">
      <w:bodyDiv w:val="1"/>
      <w:marLeft w:val="0"/>
      <w:marRight w:val="0"/>
      <w:marTop w:val="0"/>
      <w:marBottom w:val="0"/>
      <w:divBdr>
        <w:top w:val="none" w:sz="0" w:space="0" w:color="auto"/>
        <w:left w:val="none" w:sz="0" w:space="0" w:color="auto"/>
        <w:bottom w:val="none" w:sz="0" w:space="0" w:color="auto"/>
        <w:right w:val="none" w:sz="0" w:space="0" w:color="auto"/>
      </w:divBdr>
    </w:div>
    <w:div w:id="704259175">
      <w:bodyDiv w:val="1"/>
      <w:marLeft w:val="0"/>
      <w:marRight w:val="0"/>
      <w:marTop w:val="0"/>
      <w:marBottom w:val="0"/>
      <w:divBdr>
        <w:top w:val="none" w:sz="0" w:space="0" w:color="auto"/>
        <w:left w:val="none" w:sz="0" w:space="0" w:color="auto"/>
        <w:bottom w:val="none" w:sz="0" w:space="0" w:color="auto"/>
        <w:right w:val="none" w:sz="0" w:space="0" w:color="auto"/>
      </w:divBdr>
      <w:divsChild>
        <w:div w:id="1172061022">
          <w:marLeft w:val="0"/>
          <w:marRight w:val="0"/>
          <w:marTop w:val="0"/>
          <w:marBottom w:val="0"/>
          <w:divBdr>
            <w:top w:val="none" w:sz="0" w:space="0" w:color="auto"/>
            <w:left w:val="none" w:sz="0" w:space="0" w:color="auto"/>
            <w:bottom w:val="none" w:sz="0" w:space="0" w:color="auto"/>
            <w:right w:val="none" w:sz="0" w:space="0" w:color="auto"/>
          </w:divBdr>
          <w:divsChild>
            <w:div w:id="2146265861">
              <w:marLeft w:val="0"/>
              <w:marRight w:val="0"/>
              <w:marTop w:val="0"/>
              <w:marBottom w:val="0"/>
              <w:divBdr>
                <w:top w:val="none" w:sz="0" w:space="0" w:color="auto"/>
                <w:left w:val="none" w:sz="0" w:space="0" w:color="auto"/>
                <w:bottom w:val="none" w:sz="0" w:space="0" w:color="auto"/>
                <w:right w:val="none" w:sz="0" w:space="0" w:color="auto"/>
              </w:divBdr>
              <w:divsChild>
                <w:div w:id="1975872156">
                  <w:marLeft w:val="0"/>
                  <w:marRight w:val="0"/>
                  <w:marTop w:val="0"/>
                  <w:marBottom w:val="0"/>
                  <w:divBdr>
                    <w:top w:val="none" w:sz="0" w:space="0" w:color="auto"/>
                    <w:left w:val="none" w:sz="0" w:space="0" w:color="auto"/>
                    <w:bottom w:val="none" w:sz="0" w:space="0" w:color="auto"/>
                    <w:right w:val="none" w:sz="0" w:space="0" w:color="auto"/>
                  </w:divBdr>
                  <w:divsChild>
                    <w:div w:id="36861910">
                      <w:marLeft w:val="0"/>
                      <w:marRight w:val="0"/>
                      <w:marTop w:val="0"/>
                      <w:marBottom w:val="0"/>
                      <w:divBdr>
                        <w:top w:val="none" w:sz="0" w:space="0" w:color="auto"/>
                        <w:left w:val="none" w:sz="0" w:space="0" w:color="auto"/>
                        <w:bottom w:val="none" w:sz="0" w:space="0" w:color="auto"/>
                        <w:right w:val="none" w:sz="0" w:space="0" w:color="auto"/>
                      </w:divBdr>
                      <w:divsChild>
                        <w:div w:id="1873690648">
                          <w:marLeft w:val="0"/>
                          <w:marRight w:val="0"/>
                          <w:marTop w:val="0"/>
                          <w:marBottom w:val="0"/>
                          <w:divBdr>
                            <w:top w:val="none" w:sz="0" w:space="0" w:color="auto"/>
                            <w:left w:val="none" w:sz="0" w:space="0" w:color="auto"/>
                            <w:bottom w:val="none" w:sz="0" w:space="0" w:color="auto"/>
                            <w:right w:val="none" w:sz="0" w:space="0" w:color="auto"/>
                          </w:divBdr>
                          <w:divsChild>
                            <w:div w:id="266079316">
                              <w:marLeft w:val="0"/>
                              <w:marRight w:val="0"/>
                              <w:marTop w:val="0"/>
                              <w:marBottom w:val="0"/>
                              <w:divBdr>
                                <w:top w:val="none" w:sz="0" w:space="0" w:color="auto"/>
                                <w:left w:val="none" w:sz="0" w:space="0" w:color="auto"/>
                                <w:bottom w:val="none" w:sz="0" w:space="0" w:color="auto"/>
                                <w:right w:val="none" w:sz="0" w:space="0" w:color="auto"/>
                              </w:divBdr>
                              <w:divsChild>
                                <w:div w:id="316618923">
                                  <w:marLeft w:val="0"/>
                                  <w:marRight w:val="0"/>
                                  <w:marTop w:val="0"/>
                                  <w:marBottom w:val="0"/>
                                  <w:divBdr>
                                    <w:top w:val="none" w:sz="0" w:space="0" w:color="auto"/>
                                    <w:left w:val="none" w:sz="0" w:space="0" w:color="auto"/>
                                    <w:bottom w:val="none" w:sz="0" w:space="0" w:color="auto"/>
                                    <w:right w:val="none" w:sz="0" w:space="0" w:color="auto"/>
                                  </w:divBdr>
                                  <w:divsChild>
                                    <w:div w:id="131027927">
                                      <w:marLeft w:val="0"/>
                                      <w:marRight w:val="0"/>
                                      <w:marTop w:val="0"/>
                                      <w:marBottom w:val="0"/>
                                      <w:divBdr>
                                        <w:top w:val="none" w:sz="0" w:space="0" w:color="auto"/>
                                        <w:left w:val="none" w:sz="0" w:space="0" w:color="auto"/>
                                        <w:bottom w:val="none" w:sz="0" w:space="0" w:color="auto"/>
                                        <w:right w:val="none" w:sz="0" w:space="0" w:color="auto"/>
                                      </w:divBdr>
                                    </w:div>
                                    <w:div w:id="17026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497868">
      <w:bodyDiv w:val="1"/>
      <w:marLeft w:val="0"/>
      <w:marRight w:val="0"/>
      <w:marTop w:val="0"/>
      <w:marBottom w:val="0"/>
      <w:divBdr>
        <w:top w:val="none" w:sz="0" w:space="0" w:color="auto"/>
        <w:left w:val="none" w:sz="0" w:space="0" w:color="auto"/>
        <w:bottom w:val="none" w:sz="0" w:space="0" w:color="auto"/>
        <w:right w:val="none" w:sz="0" w:space="0" w:color="auto"/>
      </w:divBdr>
      <w:divsChild>
        <w:div w:id="1613245871">
          <w:marLeft w:val="0"/>
          <w:marRight w:val="0"/>
          <w:marTop w:val="0"/>
          <w:marBottom w:val="0"/>
          <w:divBdr>
            <w:top w:val="none" w:sz="0" w:space="0" w:color="auto"/>
            <w:left w:val="none" w:sz="0" w:space="0" w:color="auto"/>
            <w:bottom w:val="none" w:sz="0" w:space="0" w:color="auto"/>
            <w:right w:val="none" w:sz="0" w:space="0" w:color="auto"/>
          </w:divBdr>
          <w:divsChild>
            <w:div w:id="1380128662">
              <w:marLeft w:val="0"/>
              <w:marRight w:val="0"/>
              <w:marTop w:val="630"/>
              <w:marBottom w:val="0"/>
              <w:divBdr>
                <w:top w:val="single" w:sz="12" w:space="0" w:color="auto"/>
                <w:left w:val="none" w:sz="0" w:space="0" w:color="auto"/>
                <w:bottom w:val="none" w:sz="0" w:space="0" w:color="auto"/>
                <w:right w:val="none" w:sz="0" w:space="0" w:color="auto"/>
              </w:divBdr>
              <w:divsChild>
                <w:div w:id="778794251">
                  <w:marLeft w:val="0"/>
                  <w:marRight w:val="0"/>
                  <w:marTop w:val="0"/>
                  <w:marBottom w:val="0"/>
                  <w:divBdr>
                    <w:top w:val="none" w:sz="0" w:space="0" w:color="auto"/>
                    <w:left w:val="none" w:sz="0" w:space="0" w:color="auto"/>
                    <w:bottom w:val="none" w:sz="0" w:space="0" w:color="auto"/>
                    <w:right w:val="none" w:sz="0" w:space="0" w:color="auto"/>
                  </w:divBdr>
                  <w:divsChild>
                    <w:div w:id="773087223">
                      <w:marLeft w:val="0"/>
                      <w:marRight w:val="150"/>
                      <w:marTop w:val="0"/>
                      <w:marBottom w:val="90"/>
                      <w:divBdr>
                        <w:top w:val="none" w:sz="0" w:space="0" w:color="auto"/>
                        <w:left w:val="none" w:sz="0" w:space="0" w:color="auto"/>
                        <w:bottom w:val="none" w:sz="0" w:space="0" w:color="auto"/>
                        <w:right w:val="none" w:sz="0" w:space="0" w:color="auto"/>
                      </w:divBdr>
                      <w:divsChild>
                        <w:div w:id="16505559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3729683">
      <w:bodyDiv w:val="1"/>
      <w:marLeft w:val="0"/>
      <w:marRight w:val="0"/>
      <w:marTop w:val="0"/>
      <w:marBottom w:val="0"/>
      <w:divBdr>
        <w:top w:val="none" w:sz="0" w:space="0" w:color="auto"/>
        <w:left w:val="none" w:sz="0" w:space="0" w:color="auto"/>
        <w:bottom w:val="none" w:sz="0" w:space="0" w:color="auto"/>
        <w:right w:val="none" w:sz="0" w:space="0" w:color="auto"/>
      </w:divBdr>
      <w:divsChild>
        <w:div w:id="2103840530">
          <w:marLeft w:val="0"/>
          <w:marRight w:val="0"/>
          <w:marTop w:val="0"/>
          <w:marBottom w:val="0"/>
          <w:divBdr>
            <w:top w:val="none" w:sz="0" w:space="0" w:color="auto"/>
            <w:left w:val="none" w:sz="0" w:space="0" w:color="auto"/>
            <w:bottom w:val="none" w:sz="0" w:space="0" w:color="auto"/>
            <w:right w:val="none" w:sz="0" w:space="0" w:color="auto"/>
          </w:divBdr>
          <w:divsChild>
            <w:div w:id="1966346891">
              <w:marLeft w:val="0"/>
              <w:marRight w:val="0"/>
              <w:marTop w:val="0"/>
              <w:marBottom w:val="0"/>
              <w:divBdr>
                <w:top w:val="none" w:sz="0" w:space="0" w:color="auto"/>
                <w:left w:val="none" w:sz="0" w:space="0" w:color="auto"/>
                <w:bottom w:val="none" w:sz="0" w:space="0" w:color="auto"/>
                <w:right w:val="none" w:sz="0" w:space="0" w:color="auto"/>
              </w:divBdr>
              <w:divsChild>
                <w:div w:id="1473905270">
                  <w:marLeft w:val="0"/>
                  <w:marRight w:val="0"/>
                  <w:marTop w:val="0"/>
                  <w:marBottom w:val="0"/>
                  <w:divBdr>
                    <w:top w:val="none" w:sz="0" w:space="0" w:color="auto"/>
                    <w:left w:val="none" w:sz="0" w:space="0" w:color="auto"/>
                    <w:bottom w:val="none" w:sz="0" w:space="0" w:color="auto"/>
                    <w:right w:val="none" w:sz="0" w:space="0" w:color="auto"/>
                  </w:divBdr>
                  <w:divsChild>
                    <w:div w:id="1544635325">
                      <w:marLeft w:val="0"/>
                      <w:marRight w:val="0"/>
                      <w:marTop w:val="0"/>
                      <w:marBottom w:val="0"/>
                      <w:divBdr>
                        <w:top w:val="none" w:sz="0" w:space="0" w:color="auto"/>
                        <w:left w:val="none" w:sz="0" w:space="0" w:color="auto"/>
                        <w:bottom w:val="none" w:sz="0" w:space="0" w:color="auto"/>
                        <w:right w:val="none" w:sz="0" w:space="0" w:color="auto"/>
                      </w:divBdr>
                      <w:divsChild>
                        <w:div w:id="906307179">
                          <w:marLeft w:val="0"/>
                          <w:marRight w:val="0"/>
                          <w:marTop w:val="0"/>
                          <w:marBottom w:val="0"/>
                          <w:divBdr>
                            <w:top w:val="none" w:sz="0" w:space="0" w:color="auto"/>
                            <w:left w:val="none" w:sz="0" w:space="0" w:color="auto"/>
                            <w:bottom w:val="none" w:sz="0" w:space="0" w:color="auto"/>
                            <w:right w:val="none" w:sz="0" w:space="0" w:color="auto"/>
                          </w:divBdr>
                          <w:divsChild>
                            <w:div w:id="1865971385">
                              <w:marLeft w:val="0"/>
                              <w:marRight w:val="0"/>
                              <w:marTop w:val="0"/>
                              <w:marBottom w:val="0"/>
                              <w:divBdr>
                                <w:top w:val="none" w:sz="0" w:space="0" w:color="auto"/>
                                <w:left w:val="none" w:sz="0" w:space="0" w:color="auto"/>
                                <w:bottom w:val="none" w:sz="0" w:space="0" w:color="auto"/>
                                <w:right w:val="none" w:sz="0" w:space="0" w:color="auto"/>
                              </w:divBdr>
                              <w:divsChild>
                                <w:div w:id="1545292151">
                                  <w:marLeft w:val="0"/>
                                  <w:marRight w:val="0"/>
                                  <w:marTop w:val="0"/>
                                  <w:marBottom w:val="0"/>
                                  <w:divBdr>
                                    <w:top w:val="none" w:sz="0" w:space="0" w:color="auto"/>
                                    <w:left w:val="none" w:sz="0" w:space="0" w:color="auto"/>
                                    <w:bottom w:val="none" w:sz="0" w:space="0" w:color="auto"/>
                                    <w:right w:val="none" w:sz="0" w:space="0" w:color="auto"/>
                                  </w:divBdr>
                                  <w:divsChild>
                                    <w:div w:id="1159080615">
                                      <w:marLeft w:val="0"/>
                                      <w:marRight w:val="0"/>
                                      <w:marTop w:val="0"/>
                                      <w:marBottom w:val="0"/>
                                      <w:divBdr>
                                        <w:top w:val="none" w:sz="0" w:space="0" w:color="auto"/>
                                        <w:left w:val="none" w:sz="0" w:space="0" w:color="auto"/>
                                        <w:bottom w:val="none" w:sz="0" w:space="0" w:color="auto"/>
                                        <w:right w:val="none" w:sz="0" w:space="0" w:color="auto"/>
                                      </w:divBdr>
                                    </w:div>
                                    <w:div w:id="13019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793318">
      <w:bodyDiv w:val="1"/>
      <w:marLeft w:val="0"/>
      <w:marRight w:val="0"/>
      <w:marTop w:val="0"/>
      <w:marBottom w:val="0"/>
      <w:divBdr>
        <w:top w:val="none" w:sz="0" w:space="0" w:color="auto"/>
        <w:left w:val="none" w:sz="0" w:space="0" w:color="auto"/>
        <w:bottom w:val="none" w:sz="0" w:space="0" w:color="auto"/>
        <w:right w:val="none" w:sz="0" w:space="0" w:color="auto"/>
      </w:divBdr>
      <w:divsChild>
        <w:div w:id="1107433859">
          <w:marLeft w:val="0"/>
          <w:marRight w:val="0"/>
          <w:marTop w:val="0"/>
          <w:marBottom w:val="0"/>
          <w:divBdr>
            <w:top w:val="none" w:sz="0" w:space="0" w:color="auto"/>
            <w:left w:val="none" w:sz="0" w:space="0" w:color="auto"/>
            <w:bottom w:val="none" w:sz="0" w:space="0" w:color="auto"/>
            <w:right w:val="none" w:sz="0" w:space="0" w:color="auto"/>
          </w:divBdr>
          <w:divsChild>
            <w:div w:id="671302395">
              <w:marLeft w:val="0"/>
              <w:marRight w:val="0"/>
              <w:marTop w:val="0"/>
              <w:marBottom w:val="0"/>
              <w:divBdr>
                <w:top w:val="none" w:sz="0" w:space="0" w:color="auto"/>
                <w:left w:val="none" w:sz="0" w:space="0" w:color="auto"/>
                <w:bottom w:val="none" w:sz="0" w:space="0" w:color="auto"/>
                <w:right w:val="none" w:sz="0" w:space="0" w:color="auto"/>
              </w:divBdr>
              <w:divsChild>
                <w:div w:id="652490860">
                  <w:marLeft w:val="0"/>
                  <w:marRight w:val="0"/>
                  <w:marTop w:val="0"/>
                  <w:marBottom w:val="0"/>
                  <w:divBdr>
                    <w:top w:val="none" w:sz="0" w:space="0" w:color="auto"/>
                    <w:left w:val="none" w:sz="0" w:space="0" w:color="auto"/>
                    <w:bottom w:val="none" w:sz="0" w:space="0" w:color="auto"/>
                    <w:right w:val="none" w:sz="0" w:space="0" w:color="auto"/>
                  </w:divBdr>
                  <w:divsChild>
                    <w:div w:id="2013294811">
                      <w:marLeft w:val="0"/>
                      <w:marRight w:val="0"/>
                      <w:marTop w:val="0"/>
                      <w:marBottom w:val="0"/>
                      <w:divBdr>
                        <w:top w:val="none" w:sz="0" w:space="0" w:color="auto"/>
                        <w:left w:val="none" w:sz="0" w:space="0" w:color="auto"/>
                        <w:bottom w:val="none" w:sz="0" w:space="0" w:color="auto"/>
                        <w:right w:val="none" w:sz="0" w:space="0" w:color="auto"/>
                      </w:divBdr>
                      <w:divsChild>
                        <w:div w:id="913274524">
                          <w:marLeft w:val="0"/>
                          <w:marRight w:val="0"/>
                          <w:marTop w:val="0"/>
                          <w:marBottom w:val="0"/>
                          <w:divBdr>
                            <w:top w:val="none" w:sz="0" w:space="0" w:color="auto"/>
                            <w:left w:val="none" w:sz="0" w:space="0" w:color="auto"/>
                            <w:bottom w:val="none" w:sz="0" w:space="0" w:color="auto"/>
                            <w:right w:val="none" w:sz="0" w:space="0" w:color="auto"/>
                          </w:divBdr>
                          <w:divsChild>
                            <w:div w:id="1637105606">
                              <w:marLeft w:val="0"/>
                              <w:marRight w:val="0"/>
                              <w:marTop w:val="0"/>
                              <w:marBottom w:val="0"/>
                              <w:divBdr>
                                <w:top w:val="none" w:sz="0" w:space="0" w:color="auto"/>
                                <w:left w:val="none" w:sz="0" w:space="0" w:color="auto"/>
                                <w:bottom w:val="none" w:sz="0" w:space="0" w:color="auto"/>
                                <w:right w:val="none" w:sz="0" w:space="0" w:color="auto"/>
                              </w:divBdr>
                              <w:divsChild>
                                <w:div w:id="1420181244">
                                  <w:marLeft w:val="0"/>
                                  <w:marRight w:val="0"/>
                                  <w:marTop w:val="0"/>
                                  <w:marBottom w:val="0"/>
                                  <w:divBdr>
                                    <w:top w:val="none" w:sz="0" w:space="0" w:color="auto"/>
                                    <w:left w:val="none" w:sz="0" w:space="0" w:color="auto"/>
                                    <w:bottom w:val="none" w:sz="0" w:space="0" w:color="auto"/>
                                    <w:right w:val="none" w:sz="0" w:space="0" w:color="auto"/>
                                  </w:divBdr>
                                  <w:divsChild>
                                    <w:div w:id="320700303">
                                      <w:marLeft w:val="0"/>
                                      <w:marRight w:val="0"/>
                                      <w:marTop w:val="0"/>
                                      <w:marBottom w:val="0"/>
                                      <w:divBdr>
                                        <w:top w:val="none" w:sz="0" w:space="0" w:color="auto"/>
                                        <w:left w:val="none" w:sz="0" w:space="0" w:color="auto"/>
                                        <w:bottom w:val="none" w:sz="0" w:space="0" w:color="auto"/>
                                        <w:right w:val="none" w:sz="0" w:space="0" w:color="auto"/>
                                      </w:divBdr>
                                    </w:div>
                                    <w:div w:id="1682318915">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
                                      </w:divsChild>
                                    </w:div>
                                    <w:div w:id="18055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94776">
      <w:bodyDiv w:val="1"/>
      <w:marLeft w:val="0"/>
      <w:marRight w:val="0"/>
      <w:marTop w:val="0"/>
      <w:marBottom w:val="0"/>
      <w:divBdr>
        <w:top w:val="none" w:sz="0" w:space="0" w:color="auto"/>
        <w:left w:val="none" w:sz="0" w:space="0" w:color="auto"/>
        <w:bottom w:val="none" w:sz="0" w:space="0" w:color="auto"/>
        <w:right w:val="none" w:sz="0" w:space="0" w:color="auto"/>
      </w:divBdr>
    </w:div>
    <w:div w:id="1188063718">
      <w:bodyDiv w:val="1"/>
      <w:marLeft w:val="0"/>
      <w:marRight w:val="0"/>
      <w:marTop w:val="0"/>
      <w:marBottom w:val="0"/>
      <w:divBdr>
        <w:top w:val="none" w:sz="0" w:space="0" w:color="auto"/>
        <w:left w:val="none" w:sz="0" w:space="0" w:color="auto"/>
        <w:bottom w:val="none" w:sz="0" w:space="0" w:color="auto"/>
        <w:right w:val="none" w:sz="0" w:space="0" w:color="auto"/>
      </w:divBdr>
    </w:div>
    <w:div w:id="1207642054">
      <w:bodyDiv w:val="1"/>
      <w:marLeft w:val="0"/>
      <w:marRight w:val="0"/>
      <w:marTop w:val="0"/>
      <w:marBottom w:val="0"/>
      <w:divBdr>
        <w:top w:val="none" w:sz="0" w:space="0" w:color="auto"/>
        <w:left w:val="none" w:sz="0" w:space="0" w:color="auto"/>
        <w:bottom w:val="none" w:sz="0" w:space="0" w:color="auto"/>
        <w:right w:val="none" w:sz="0" w:space="0" w:color="auto"/>
      </w:divBdr>
    </w:div>
    <w:div w:id="1328631195">
      <w:bodyDiv w:val="1"/>
      <w:marLeft w:val="0"/>
      <w:marRight w:val="0"/>
      <w:marTop w:val="0"/>
      <w:marBottom w:val="0"/>
      <w:divBdr>
        <w:top w:val="none" w:sz="0" w:space="0" w:color="auto"/>
        <w:left w:val="none" w:sz="0" w:space="0" w:color="auto"/>
        <w:bottom w:val="none" w:sz="0" w:space="0" w:color="auto"/>
        <w:right w:val="none" w:sz="0" w:space="0" w:color="auto"/>
      </w:divBdr>
      <w:divsChild>
        <w:div w:id="1545944621">
          <w:marLeft w:val="0"/>
          <w:marRight w:val="0"/>
          <w:marTop w:val="0"/>
          <w:marBottom w:val="0"/>
          <w:divBdr>
            <w:top w:val="none" w:sz="0" w:space="0" w:color="auto"/>
            <w:left w:val="none" w:sz="0" w:space="0" w:color="auto"/>
            <w:bottom w:val="none" w:sz="0" w:space="0" w:color="auto"/>
            <w:right w:val="none" w:sz="0" w:space="0" w:color="auto"/>
          </w:divBdr>
          <w:divsChild>
            <w:div w:id="1650817065">
              <w:marLeft w:val="0"/>
              <w:marRight w:val="0"/>
              <w:marTop w:val="630"/>
              <w:marBottom w:val="0"/>
              <w:divBdr>
                <w:top w:val="single" w:sz="12" w:space="0" w:color="auto"/>
                <w:left w:val="none" w:sz="0" w:space="0" w:color="auto"/>
                <w:bottom w:val="none" w:sz="0" w:space="0" w:color="auto"/>
                <w:right w:val="none" w:sz="0" w:space="0" w:color="auto"/>
              </w:divBdr>
              <w:divsChild>
                <w:div w:id="2098162551">
                  <w:marLeft w:val="0"/>
                  <w:marRight w:val="0"/>
                  <w:marTop w:val="0"/>
                  <w:marBottom w:val="0"/>
                  <w:divBdr>
                    <w:top w:val="none" w:sz="0" w:space="0" w:color="auto"/>
                    <w:left w:val="none" w:sz="0" w:space="0" w:color="auto"/>
                    <w:bottom w:val="none" w:sz="0" w:space="0" w:color="auto"/>
                    <w:right w:val="none" w:sz="0" w:space="0" w:color="auto"/>
                  </w:divBdr>
                  <w:divsChild>
                    <w:div w:id="1620448497">
                      <w:marLeft w:val="0"/>
                      <w:marRight w:val="150"/>
                      <w:marTop w:val="0"/>
                      <w:marBottom w:val="90"/>
                      <w:divBdr>
                        <w:top w:val="none" w:sz="0" w:space="0" w:color="auto"/>
                        <w:left w:val="none" w:sz="0" w:space="0" w:color="auto"/>
                        <w:bottom w:val="none" w:sz="0" w:space="0" w:color="auto"/>
                        <w:right w:val="none" w:sz="0" w:space="0" w:color="auto"/>
                      </w:divBdr>
                      <w:divsChild>
                        <w:div w:id="11000271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54111420">
      <w:bodyDiv w:val="1"/>
      <w:marLeft w:val="0"/>
      <w:marRight w:val="0"/>
      <w:marTop w:val="0"/>
      <w:marBottom w:val="0"/>
      <w:divBdr>
        <w:top w:val="none" w:sz="0" w:space="0" w:color="auto"/>
        <w:left w:val="none" w:sz="0" w:space="0" w:color="auto"/>
        <w:bottom w:val="none" w:sz="0" w:space="0" w:color="auto"/>
        <w:right w:val="none" w:sz="0" w:space="0" w:color="auto"/>
      </w:divBdr>
      <w:divsChild>
        <w:div w:id="1344359041">
          <w:marLeft w:val="0"/>
          <w:marRight w:val="0"/>
          <w:marTop w:val="0"/>
          <w:marBottom w:val="0"/>
          <w:divBdr>
            <w:top w:val="none" w:sz="0" w:space="0" w:color="auto"/>
            <w:left w:val="none" w:sz="0" w:space="0" w:color="auto"/>
            <w:bottom w:val="none" w:sz="0" w:space="0" w:color="auto"/>
            <w:right w:val="none" w:sz="0" w:space="0" w:color="auto"/>
          </w:divBdr>
          <w:divsChild>
            <w:div w:id="523324286">
              <w:marLeft w:val="0"/>
              <w:marRight w:val="0"/>
              <w:marTop w:val="0"/>
              <w:marBottom w:val="0"/>
              <w:divBdr>
                <w:top w:val="none" w:sz="0" w:space="0" w:color="auto"/>
                <w:left w:val="none" w:sz="0" w:space="0" w:color="auto"/>
                <w:bottom w:val="none" w:sz="0" w:space="0" w:color="auto"/>
                <w:right w:val="none" w:sz="0" w:space="0" w:color="auto"/>
              </w:divBdr>
              <w:divsChild>
                <w:div w:id="1500540923">
                  <w:marLeft w:val="0"/>
                  <w:marRight w:val="0"/>
                  <w:marTop w:val="0"/>
                  <w:marBottom w:val="0"/>
                  <w:divBdr>
                    <w:top w:val="none" w:sz="0" w:space="0" w:color="auto"/>
                    <w:left w:val="none" w:sz="0" w:space="0" w:color="auto"/>
                    <w:bottom w:val="none" w:sz="0" w:space="0" w:color="auto"/>
                    <w:right w:val="none" w:sz="0" w:space="0" w:color="auto"/>
                  </w:divBdr>
                  <w:divsChild>
                    <w:div w:id="199705700">
                      <w:marLeft w:val="0"/>
                      <w:marRight w:val="0"/>
                      <w:marTop w:val="0"/>
                      <w:marBottom w:val="0"/>
                      <w:divBdr>
                        <w:top w:val="none" w:sz="0" w:space="0" w:color="auto"/>
                        <w:left w:val="none" w:sz="0" w:space="0" w:color="auto"/>
                        <w:bottom w:val="none" w:sz="0" w:space="0" w:color="auto"/>
                        <w:right w:val="none" w:sz="0" w:space="0" w:color="auto"/>
                      </w:divBdr>
                      <w:divsChild>
                        <w:div w:id="1765682676">
                          <w:marLeft w:val="0"/>
                          <w:marRight w:val="0"/>
                          <w:marTop w:val="0"/>
                          <w:marBottom w:val="0"/>
                          <w:divBdr>
                            <w:top w:val="none" w:sz="0" w:space="0" w:color="auto"/>
                            <w:left w:val="none" w:sz="0" w:space="0" w:color="auto"/>
                            <w:bottom w:val="none" w:sz="0" w:space="0" w:color="auto"/>
                            <w:right w:val="none" w:sz="0" w:space="0" w:color="auto"/>
                          </w:divBdr>
                          <w:divsChild>
                            <w:div w:id="892274971">
                              <w:marLeft w:val="0"/>
                              <w:marRight w:val="0"/>
                              <w:marTop w:val="0"/>
                              <w:marBottom w:val="0"/>
                              <w:divBdr>
                                <w:top w:val="none" w:sz="0" w:space="0" w:color="auto"/>
                                <w:left w:val="none" w:sz="0" w:space="0" w:color="auto"/>
                                <w:bottom w:val="none" w:sz="0" w:space="0" w:color="auto"/>
                                <w:right w:val="none" w:sz="0" w:space="0" w:color="auto"/>
                              </w:divBdr>
                              <w:divsChild>
                                <w:div w:id="1995913138">
                                  <w:marLeft w:val="0"/>
                                  <w:marRight w:val="0"/>
                                  <w:marTop w:val="0"/>
                                  <w:marBottom w:val="0"/>
                                  <w:divBdr>
                                    <w:top w:val="none" w:sz="0" w:space="0" w:color="auto"/>
                                    <w:left w:val="none" w:sz="0" w:space="0" w:color="auto"/>
                                    <w:bottom w:val="none" w:sz="0" w:space="0" w:color="auto"/>
                                    <w:right w:val="none" w:sz="0" w:space="0" w:color="auto"/>
                                  </w:divBdr>
                                  <w:divsChild>
                                    <w:div w:id="12583324">
                                      <w:marLeft w:val="0"/>
                                      <w:marRight w:val="0"/>
                                      <w:marTop w:val="0"/>
                                      <w:marBottom w:val="0"/>
                                      <w:divBdr>
                                        <w:top w:val="none" w:sz="0" w:space="0" w:color="auto"/>
                                        <w:left w:val="none" w:sz="0" w:space="0" w:color="auto"/>
                                        <w:bottom w:val="none" w:sz="0" w:space="0" w:color="auto"/>
                                        <w:right w:val="none" w:sz="0" w:space="0" w:color="auto"/>
                                      </w:divBdr>
                                    </w:div>
                                    <w:div w:id="8728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724132">
      <w:bodyDiv w:val="1"/>
      <w:marLeft w:val="0"/>
      <w:marRight w:val="0"/>
      <w:marTop w:val="0"/>
      <w:marBottom w:val="0"/>
      <w:divBdr>
        <w:top w:val="none" w:sz="0" w:space="0" w:color="auto"/>
        <w:left w:val="none" w:sz="0" w:space="0" w:color="auto"/>
        <w:bottom w:val="none" w:sz="0" w:space="0" w:color="auto"/>
        <w:right w:val="none" w:sz="0" w:space="0" w:color="auto"/>
      </w:divBdr>
    </w:div>
    <w:div w:id="1558084064">
      <w:bodyDiv w:val="1"/>
      <w:marLeft w:val="0"/>
      <w:marRight w:val="0"/>
      <w:marTop w:val="0"/>
      <w:marBottom w:val="0"/>
      <w:divBdr>
        <w:top w:val="none" w:sz="0" w:space="0" w:color="auto"/>
        <w:left w:val="none" w:sz="0" w:space="0" w:color="auto"/>
        <w:bottom w:val="none" w:sz="0" w:space="0" w:color="auto"/>
        <w:right w:val="none" w:sz="0" w:space="0" w:color="auto"/>
      </w:divBdr>
      <w:divsChild>
        <w:div w:id="19019442">
          <w:marLeft w:val="0"/>
          <w:marRight w:val="0"/>
          <w:marTop w:val="0"/>
          <w:marBottom w:val="0"/>
          <w:divBdr>
            <w:top w:val="none" w:sz="0" w:space="0" w:color="auto"/>
            <w:left w:val="none" w:sz="0" w:space="0" w:color="auto"/>
            <w:bottom w:val="none" w:sz="0" w:space="0" w:color="auto"/>
            <w:right w:val="none" w:sz="0" w:space="0" w:color="auto"/>
          </w:divBdr>
          <w:divsChild>
            <w:div w:id="806355955">
              <w:marLeft w:val="0"/>
              <w:marRight w:val="0"/>
              <w:marTop w:val="0"/>
              <w:marBottom w:val="0"/>
              <w:divBdr>
                <w:top w:val="none" w:sz="0" w:space="0" w:color="auto"/>
                <w:left w:val="none" w:sz="0" w:space="0" w:color="auto"/>
                <w:bottom w:val="none" w:sz="0" w:space="0" w:color="auto"/>
                <w:right w:val="none" w:sz="0" w:space="0" w:color="auto"/>
              </w:divBdr>
              <w:divsChild>
                <w:div w:id="1756630181">
                  <w:marLeft w:val="0"/>
                  <w:marRight w:val="0"/>
                  <w:marTop w:val="0"/>
                  <w:marBottom w:val="0"/>
                  <w:divBdr>
                    <w:top w:val="none" w:sz="0" w:space="0" w:color="auto"/>
                    <w:left w:val="none" w:sz="0" w:space="0" w:color="auto"/>
                    <w:bottom w:val="none" w:sz="0" w:space="0" w:color="auto"/>
                    <w:right w:val="none" w:sz="0" w:space="0" w:color="auto"/>
                  </w:divBdr>
                  <w:divsChild>
                    <w:div w:id="1643004395">
                      <w:marLeft w:val="0"/>
                      <w:marRight w:val="0"/>
                      <w:marTop w:val="0"/>
                      <w:marBottom w:val="0"/>
                      <w:divBdr>
                        <w:top w:val="none" w:sz="0" w:space="0" w:color="auto"/>
                        <w:left w:val="none" w:sz="0" w:space="0" w:color="auto"/>
                        <w:bottom w:val="none" w:sz="0" w:space="0" w:color="auto"/>
                        <w:right w:val="none" w:sz="0" w:space="0" w:color="auto"/>
                      </w:divBdr>
                      <w:divsChild>
                        <w:div w:id="1807619750">
                          <w:marLeft w:val="0"/>
                          <w:marRight w:val="0"/>
                          <w:marTop w:val="0"/>
                          <w:marBottom w:val="0"/>
                          <w:divBdr>
                            <w:top w:val="none" w:sz="0" w:space="0" w:color="auto"/>
                            <w:left w:val="none" w:sz="0" w:space="0" w:color="auto"/>
                            <w:bottom w:val="none" w:sz="0" w:space="0" w:color="auto"/>
                            <w:right w:val="none" w:sz="0" w:space="0" w:color="auto"/>
                          </w:divBdr>
                        </w:div>
                      </w:divsChild>
                    </w:div>
                    <w:div w:id="190409811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81544357">
      <w:bodyDiv w:val="1"/>
      <w:marLeft w:val="0"/>
      <w:marRight w:val="0"/>
      <w:marTop w:val="0"/>
      <w:marBottom w:val="0"/>
      <w:divBdr>
        <w:top w:val="none" w:sz="0" w:space="0" w:color="auto"/>
        <w:left w:val="none" w:sz="0" w:space="0" w:color="auto"/>
        <w:bottom w:val="none" w:sz="0" w:space="0" w:color="auto"/>
        <w:right w:val="none" w:sz="0" w:space="0" w:color="auto"/>
      </w:divBdr>
      <w:divsChild>
        <w:div w:id="6370964">
          <w:marLeft w:val="0"/>
          <w:marRight w:val="0"/>
          <w:marTop w:val="0"/>
          <w:marBottom w:val="0"/>
          <w:divBdr>
            <w:top w:val="none" w:sz="0" w:space="0" w:color="auto"/>
            <w:left w:val="none" w:sz="0" w:space="0" w:color="auto"/>
            <w:bottom w:val="none" w:sz="0" w:space="0" w:color="auto"/>
            <w:right w:val="none" w:sz="0" w:space="0" w:color="auto"/>
          </w:divBdr>
          <w:divsChild>
            <w:div w:id="352268311">
              <w:marLeft w:val="0"/>
              <w:marRight w:val="0"/>
              <w:marTop w:val="0"/>
              <w:marBottom w:val="0"/>
              <w:divBdr>
                <w:top w:val="none" w:sz="0" w:space="0" w:color="auto"/>
                <w:left w:val="none" w:sz="0" w:space="0" w:color="auto"/>
                <w:bottom w:val="none" w:sz="0" w:space="0" w:color="auto"/>
                <w:right w:val="none" w:sz="0" w:space="0" w:color="auto"/>
              </w:divBdr>
              <w:divsChild>
                <w:div w:id="1776557636">
                  <w:marLeft w:val="0"/>
                  <w:marRight w:val="0"/>
                  <w:marTop w:val="0"/>
                  <w:marBottom w:val="0"/>
                  <w:divBdr>
                    <w:top w:val="none" w:sz="0" w:space="0" w:color="auto"/>
                    <w:left w:val="none" w:sz="0" w:space="0" w:color="auto"/>
                    <w:bottom w:val="none" w:sz="0" w:space="0" w:color="auto"/>
                    <w:right w:val="none" w:sz="0" w:space="0" w:color="auto"/>
                  </w:divBdr>
                  <w:divsChild>
                    <w:div w:id="497042906">
                      <w:marLeft w:val="0"/>
                      <w:marRight w:val="0"/>
                      <w:marTop w:val="0"/>
                      <w:marBottom w:val="0"/>
                      <w:divBdr>
                        <w:top w:val="none" w:sz="0" w:space="0" w:color="auto"/>
                        <w:left w:val="none" w:sz="0" w:space="0" w:color="auto"/>
                        <w:bottom w:val="none" w:sz="0" w:space="0" w:color="auto"/>
                        <w:right w:val="none" w:sz="0" w:space="0" w:color="auto"/>
                      </w:divBdr>
                      <w:divsChild>
                        <w:div w:id="39213840">
                          <w:marLeft w:val="0"/>
                          <w:marRight w:val="0"/>
                          <w:marTop w:val="0"/>
                          <w:marBottom w:val="0"/>
                          <w:divBdr>
                            <w:top w:val="none" w:sz="0" w:space="0" w:color="auto"/>
                            <w:left w:val="none" w:sz="0" w:space="0" w:color="auto"/>
                            <w:bottom w:val="none" w:sz="0" w:space="0" w:color="auto"/>
                            <w:right w:val="none" w:sz="0" w:space="0" w:color="auto"/>
                          </w:divBdr>
                          <w:divsChild>
                            <w:div w:id="1626155421">
                              <w:marLeft w:val="0"/>
                              <w:marRight w:val="0"/>
                              <w:marTop w:val="0"/>
                              <w:marBottom w:val="0"/>
                              <w:divBdr>
                                <w:top w:val="none" w:sz="0" w:space="0" w:color="auto"/>
                                <w:left w:val="none" w:sz="0" w:space="0" w:color="auto"/>
                                <w:bottom w:val="none" w:sz="0" w:space="0" w:color="auto"/>
                                <w:right w:val="none" w:sz="0" w:space="0" w:color="auto"/>
                              </w:divBdr>
                              <w:divsChild>
                                <w:div w:id="1653558160">
                                  <w:marLeft w:val="0"/>
                                  <w:marRight w:val="0"/>
                                  <w:marTop w:val="0"/>
                                  <w:marBottom w:val="0"/>
                                  <w:divBdr>
                                    <w:top w:val="none" w:sz="0" w:space="0" w:color="auto"/>
                                    <w:left w:val="none" w:sz="0" w:space="0" w:color="auto"/>
                                    <w:bottom w:val="none" w:sz="0" w:space="0" w:color="auto"/>
                                    <w:right w:val="none" w:sz="0" w:space="0" w:color="auto"/>
                                  </w:divBdr>
                                  <w:divsChild>
                                    <w:div w:id="550115333">
                                      <w:marLeft w:val="0"/>
                                      <w:marRight w:val="0"/>
                                      <w:marTop w:val="0"/>
                                      <w:marBottom w:val="0"/>
                                      <w:divBdr>
                                        <w:top w:val="none" w:sz="0" w:space="0" w:color="auto"/>
                                        <w:left w:val="none" w:sz="0" w:space="0" w:color="auto"/>
                                        <w:bottom w:val="none" w:sz="0" w:space="0" w:color="auto"/>
                                        <w:right w:val="none" w:sz="0" w:space="0" w:color="auto"/>
                                      </w:divBdr>
                                    </w:div>
                                    <w:div w:id="1096055126">
                                      <w:marLeft w:val="0"/>
                                      <w:marRight w:val="0"/>
                                      <w:marTop w:val="0"/>
                                      <w:marBottom w:val="0"/>
                                      <w:divBdr>
                                        <w:top w:val="none" w:sz="0" w:space="0" w:color="auto"/>
                                        <w:left w:val="none" w:sz="0" w:space="0" w:color="auto"/>
                                        <w:bottom w:val="none" w:sz="0" w:space="0" w:color="auto"/>
                                        <w:right w:val="none" w:sz="0" w:space="0" w:color="auto"/>
                                      </w:divBdr>
                                      <w:divsChild>
                                        <w:div w:id="68578560">
                                          <w:marLeft w:val="0"/>
                                          <w:marRight w:val="0"/>
                                          <w:marTop w:val="0"/>
                                          <w:marBottom w:val="0"/>
                                          <w:divBdr>
                                            <w:top w:val="none" w:sz="0" w:space="0" w:color="auto"/>
                                            <w:left w:val="none" w:sz="0" w:space="0" w:color="auto"/>
                                            <w:bottom w:val="none" w:sz="0" w:space="0" w:color="auto"/>
                                            <w:right w:val="none" w:sz="0" w:space="0" w:color="auto"/>
                                          </w:divBdr>
                                        </w:div>
                                      </w:divsChild>
                                    </w:div>
                                    <w:div w:id="2034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796549">
      <w:bodyDiv w:val="1"/>
      <w:marLeft w:val="0"/>
      <w:marRight w:val="0"/>
      <w:marTop w:val="0"/>
      <w:marBottom w:val="0"/>
      <w:divBdr>
        <w:top w:val="none" w:sz="0" w:space="0" w:color="auto"/>
        <w:left w:val="none" w:sz="0" w:space="0" w:color="auto"/>
        <w:bottom w:val="none" w:sz="0" w:space="0" w:color="auto"/>
        <w:right w:val="none" w:sz="0" w:space="0" w:color="auto"/>
      </w:divBdr>
      <w:divsChild>
        <w:div w:id="590507846">
          <w:marLeft w:val="0"/>
          <w:marRight w:val="0"/>
          <w:marTop w:val="0"/>
          <w:marBottom w:val="0"/>
          <w:divBdr>
            <w:top w:val="none" w:sz="0" w:space="0" w:color="auto"/>
            <w:left w:val="none" w:sz="0" w:space="0" w:color="auto"/>
            <w:bottom w:val="none" w:sz="0" w:space="0" w:color="auto"/>
            <w:right w:val="none" w:sz="0" w:space="0" w:color="auto"/>
          </w:divBdr>
          <w:divsChild>
            <w:div w:id="306135199">
              <w:marLeft w:val="0"/>
              <w:marRight w:val="0"/>
              <w:marTop w:val="0"/>
              <w:marBottom w:val="0"/>
              <w:divBdr>
                <w:top w:val="none" w:sz="0" w:space="0" w:color="auto"/>
                <w:left w:val="none" w:sz="0" w:space="0" w:color="auto"/>
                <w:bottom w:val="none" w:sz="0" w:space="0" w:color="auto"/>
                <w:right w:val="none" w:sz="0" w:space="0" w:color="auto"/>
              </w:divBdr>
              <w:divsChild>
                <w:div w:id="1345786078">
                  <w:marLeft w:val="0"/>
                  <w:marRight w:val="0"/>
                  <w:marTop w:val="0"/>
                  <w:marBottom w:val="0"/>
                  <w:divBdr>
                    <w:top w:val="none" w:sz="0" w:space="0" w:color="auto"/>
                    <w:left w:val="none" w:sz="0" w:space="0" w:color="auto"/>
                    <w:bottom w:val="none" w:sz="0" w:space="0" w:color="auto"/>
                    <w:right w:val="none" w:sz="0" w:space="0" w:color="auto"/>
                  </w:divBdr>
                  <w:divsChild>
                    <w:div w:id="404380419">
                      <w:marLeft w:val="0"/>
                      <w:marRight w:val="0"/>
                      <w:marTop w:val="0"/>
                      <w:marBottom w:val="0"/>
                      <w:divBdr>
                        <w:top w:val="none" w:sz="0" w:space="0" w:color="auto"/>
                        <w:left w:val="none" w:sz="0" w:space="0" w:color="auto"/>
                        <w:bottom w:val="none" w:sz="0" w:space="0" w:color="auto"/>
                        <w:right w:val="none" w:sz="0" w:space="0" w:color="auto"/>
                      </w:divBdr>
                      <w:divsChild>
                        <w:div w:id="80952695">
                          <w:marLeft w:val="0"/>
                          <w:marRight w:val="0"/>
                          <w:marTop w:val="0"/>
                          <w:marBottom w:val="0"/>
                          <w:divBdr>
                            <w:top w:val="none" w:sz="0" w:space="0" w:color="auto"/>
                            <w:left w:val="none" w:sz="0" w:space="0" w:color="auto"/>
                            <w:bottom w:val="none" w:sz="0" w:space="0" w:color="auto"/>
                            <w:right w:val="none" w:sz="0" w:space="0" w:color="auto"/>
                          </w:divBdr>
                        </w:div>
                      </w:divsChild>
                    </w:div>
                    <w:div w:id="527839961">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89998295">
      <w:bodyDiv w:val="1"/>
      <w:marLeft w:val="0"/>
      <w:marRight w:val="0"/>
      <w:marTop w:val="0"/>
      <w:marBottom w:val="0"/>
      <w:divBdr>
        <w:top w:val="none" w:sz="0" w:space="0" w:color="auto"/>
        <w:left w:val="none" w:sz="0" w:space="0" w:color="auto"/>
        <w:bottom w:val="none" w:sz="0" w:space="0" w:color="auto"/>
        <w:right w:val="none" w:sz="0" w:space="0" w:color="auto"/>
      </w:divBdr>
      <w:divsChild>
        <w:div w:id="556554135">
          <w:marLeft w:val="0"/>
          <w:marRight w:val="0"/>
          <w:marTop w:val="0"/>
          <w:marBottom w:val="0"/>
          <w:divBdr>
            <w:top w:val="none" w:sz="0" w:space="0" w:color="auto"/>
            <w:left w:val="none" w:sz="0" w:space="0" w:color="auto"/>
            <w:bottom w:val="none" w:sz="0" w:space="0" w:color="auto"/>
            <w:right w:val="none" w:sz="0" w:space="0" w:color="auto"/>
          </w:divBdr>
        </w:div>
      </w:divsChild>
    </w:div>
    <w:div w:id="1893957330">
      <w:marLeft w:val="0"/>
      <w:marRight w:val="0"/>
      <w:marTop w:val="0"/>
      <w:marBottom w:val="0"/>
      <w:divBdr>
        <w:top w:val="none" w:sz="0" w:space="0" w:color="auto"/>
        <w:left w:val="none" w:sz="0" w:space="0" w:color="auto"/>
        <w:bottom w:val="none" w:sz="0" w:space="0" w:color="auto"/>
        <w:right w:val="none" w:sz="0" w:space="0" w:color="auto"/>
      </w:divBdr>
      <w:divsChild>
        <w:div w:id="562831795">
          <w:marLeft w:val="0"/>
          <w:marRight w:val="0"/>
          <w:marTop w:val="0"/>
          <w:marBottom w:val="0"/>
          <w:divBdr>
            <w:top w:val="none" w:sz="0" w:space="0" w:color="auto"/>
            <w:left w:val="none" w:sz="0" w:space="0" w:color="auto"/>
            <w:bottom w:val="none" w:sz="0" w:space="0" w:color="auto"/>
            <w:right w:val="none" w:sz="0" w:space="0" w:color="auto"/>
          </w:divBdr>
          <w:divsChild>
            <w:div w:id="1543319639">
              <w:marLeft w:val="0"/>
              <w:marRight w:val="0"/>
              <w:marTop w:val="0"/>
              <w:marBottom w:val="0"/>
              <w:divBdr>
                <w:top w:val="none" w:sz="0" w:space="0" w:color="auto"/>
                <w:left w:val="none" w:sz="0" w:space="0" w:color="auto"/>
                <w:bottom w:val="none" w:sz="0" w:space="0" w:color="auto"/>
                <w:right w:val="none" w:sz="0" w:space="0" w:color="auto"/>
              </w:divBdr>
            </w:div>
            <w:div w:id="1692564002">
              <w:marLeft w:val="0"/>
              <w:marRight w:val="0"/>
              <w:marTop w:val="0"/>
              <w:marBottom w:val="0"/>
              <w:divBdr>
                <w:top w:val="none" w:sz="0" w:space="0" w:color="auto"/>
                <w:left w:val="none" w:sz="0" w:space="0" w:color="auto"/>
                <w:bottom w:val="none" w:sz="0" w:space="0" w:color="auto"/>
                <w:right w:val="none" w:sz="0" w:space="0" w:color="auto"/>
              </w:divBdr>
              <w:divsChild>
                <w:div w:id="71512359">
                  <w:marLeft w:val="0"/>
                  <w:marRight w:val="0"/>
                  <w:marTop w:val="0"/>
                  <w:marBottom w:val="0"/>
                  <w:divBdr>
                    <w:top w:val="none" w:sz="0" w:space="0" w:color="auto"/>
                    <w:left w:val="none" w:sz="0" w:space="0" w:color="auto"/>
                    <w:bottom w:val="none" w:sz="0" w:space="0" w:color="auto"/>
                    <w:right w:val="none" w:sz="0" w:space="0" w:color="auto"/>
                  </w:divBdr>
                </w:div>
                <w:div w:id="1267929422">
                  <w:marLeft w:val="0"/>
                  <w:marRight w:val="0"/>
                  <w:marTop w:val="0"/>
                  <w:marBottom w:val="0"/>
                  <w:divBdr>
                    <w:top w:val="none" w:sz="0" w:space="0" w:color="auto"/>
                    <w:left w:val="none" w:sz="0" w:space="0" w:color="auto"/>
                    <w:bottom w:val="none" w:sz="0" w:space="0" w:color="auto"/>
                    <w:right w:val="none" w:sz="0" w:space="0" w:color="auto"/>
                  </w:divBdr>
                </w:div>
              </w:divsChild>
            </w:div>
            <w:div w:id="1815029131">
              <w:marLeft w:val="0"/>
              <w:marRight w:val="0"/>
              <w:marTop w:val="0"/>
              <w:marBottom w:val="0"/>
              <w:divBdr>
                <w:top w:val="none" w:sz="0" w:space="0" w:color="auto"/>
                <w:left w:val="none" w:sz="0" w:space="0" w:color="auto"/>
                <w:bottom w:val="none" w:sz="0" w:space="0" w:color="auto"/>
                <w:right w:val="none" w:sz="0" w:space="0" w:color="auto"/>
              </w:divBdr>
              <w:divsChild>
                <w:div w:id="1621448933">
                  <w:marLeft w:val="0"/>
                  <w:marRight w:val="0"/>
                  <w:marTop w:val="0"/>
                  <w:marBottom w:val="0"/>
                  <w:divBdr>
                    <w:top w:val="none" w:sz="0" w:space="0" w:color="auto"/>
                    <w:left w:val="none" w:sz="0" w:space="0" w:color="auto"/>
                    <w:bottom w:val="none" w:sz="0" w:space="0" w:color="auto"/>
                    <w:right w:val="none" w:sz="0" w:space="0" w:color="auto"/>
                  </w:divBdr>
                  <w:divsChild>
                    <w:div w:id="1474521341">
                      <w:marLeft w:val="0"/>
                      <w:marRight w:val="0"/>
                      <w:marTop w:val="0"/>
                      <w:marBottom w:val="0"/>
                      <w:divBdr>
                        <w:top w:val="none" w:sz="0" w:space="0" w:color="auto"/>
                        <w:left w:val="none" w:sz="0" w:space="0" w:color="auto"/>
                        <w:bottom w:val="none" w:sz="0" w:space="0" w:color="auto"/>
                        <w:right w:val="none" w:sz="0" w:space="0" w:color="auto"/>
                      </w:divBdr>
                      <w:divsChild>
                        <w:div w:id="67197321">
                          <w:marLeft w:val="0"/>
                          <w:marRight w:val="0"/>
                          <w:marTop w:val="0"/>
                          <w:marBottom w:val="0"/>
                          <w:divBdr>
                            <w:top w:val="none" w:sz="0" w:space="0" w:color="auto"/>
                            <w:left w:val="none" w:sz="0" w:space="0" w:color="auto"/>
                            <w:bottom w:val="none" w:sz="0" w:space="0" w:color="auto"/>
                            <w:right w:val="none" w:sz="0" w:space="0" w:color="auto"/>
                          </w:divBdr>
                        </w:div>
                        <w:div w:id="581068731">
                          <w:marLeft w:val="0"/>
                          <w:marRight w:val="0"/>
                          <w:marTop w:val="0"/>
                          <w:marBottom w:val="0"/>
                          <w:divBdr>
                            <w:top w:val="none" w:sz="0" w:space="0" w:color="auto"/>
                            <w:left w:val="none" w:sz="0" w:space="0" w:color="auto"/>
                            <w:bottom w:val="none" w:sz="0" w:space="0" w:color="auto"/>
                            <w:right w:val="none" w:sz="0" w:space="0" w:color="auto"/>
                          </w:divBdr>
                        </w:div>
                        <w:div w:id="1045331319">
                          <w:marLeft w:val="0"/>
                          <w:marRight w:val="0"/>
                          <w:marTop w:val="0"/>
                          <w:marBottom w:val="0"/>
                          <w:divBdr>
                            <w:top w:val="none" w:sz="0" w:space="0" w:color="auto"/>
                            <w:left w:val="none" w:sz="0" w:space="0" w:color="auto"/>
                            <w:bottom w:val="none" w:sz="0" w:space="0" w:color="auto"/>
                            <w:right w:val="none" w:sz="0" w:space="0" w:color="auto"/>
                          </w:divBdr>
                        </w:div>
                        <w:div w:id="1165900707">
                          <w:marLeft w:val="0"/>
                          <w:marRight w:val="0"/>
                          <w:marTop w:val="0"/>
                          <w:marBottom w:val="0"/>
                          <w:divBdr>
                            <w:top w:val="none" w:sz="0" w:space="0" w:color="auto"/>
                            <w:left w:val="none" w:sz="0" w:space="0" w:color="auto"/>
                            <w:bottom w:val="none" w:sz="0" w:space="0" w:color="auto"/>
                            <w:right w:val="none" w:sz="0" w:space="0" w:color="auto"/>
                          </w:divBdr>
                        </w:div>
                        <w:div w:id="1204101301">
                          <w:marLeft w:val="0"/>
                          <w:marRight w:val="0"/>
                          <w:marTop w:val="0"/>
                          <w:marBottom w:val="0"/>
                          <w:divBdr>
                            <w:top w:val="none" w:sz="0" w:space="0" w:color="auto"/>
                            <w:left w:val="none" w:sz="0" w:space="0" w:color="auto"/>
                            <w:bottom w:val="none" w:sz="0" w:space="0" w:color="auto"/>
                            <w:right w:val="none" w:sz="0" w:space="0" w:color="auto"/>
                          </w:divBdr>
                        </w:div>
                        <w:div w:id="1335035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80588">
                          <w:marLeft w:val="0"/>
                          <w:marRight w:val="0"/>
                          <w:marTop w:val="0"/>
                          <w:marBottom w:val="0"/>
                          <w:divBdr>
                            <w:top w:val="none" w:sz="0" w:space="0" w:color="auto"/>
                            <w:left w:val="none" w:sz="0" w:space="0" w:color="auto"/>
                            <w:bottom w:val="none" w:sz="0" w:space="0" w:color="auto"/>
                            <w:right w:val="none" w:sz="0" w:space="0" w:color="auto"/>
                          </w:divBdr>
                        </w:div>
                        <w:div w:id="1656832803">
                          <w:marLeft w:val="0"/>
                          <w:marRight w:val="0"/>
                          <w:marTop w:val="0"/>
                          <w:marBottom w:val="0"/>
                          <w:divBdr>
                            <w:top w:val="none" w:sz="0" w:space="0" w:color="auto"/>
                            <w:left w:val="none" w:sz="0" w:space="0" w:color="auto"/>
                            <w:bottom w:val="none" w:sz="0" w:space="0" w:color="auto"/>
                            <w:right w:val="none" w:sz="0" w:space="0" w:color="auto"/>
                          </w:divBdr>
                        </w:div>
                        <w:div w:id="1784226290">
                          <w:marLeft w:val="0"/>
                          <w:marRight w:val="0"/>
                          <w:marTop w:val="0"/>
                          <w:marBottom w:val="0"/>
                          <w:divBdr>
                            <w:top w:val="none" w:sz="0" w:space="0" w:color="auto"/>
                            <w:left w:val="none" w:sz="0" w:space="0" w:color="auto"/>
                            <w:bottom w:val="none" w:sz="0" w:space="0" w:color="auto"/>
                            <w:right w:val="none" w:sz="0" w:space="0" w:color="auto"/>
                          </w:divBdr>
                        </w:div>
                        <w:div w:id="20211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0612">
              <w:marLeft w:val="0"/>
              <w:marRight w:val="0"/>
              <w:marTop w:val="0"/>
              <w:marBottom w:val="0"/>
              <w:divBdr>
                <w:top w:val="none" w:sz="0" w:space="0" w:color="auto"/>
                <w:left w:val="none" w:sz="0" w:space="0" w:color="auto"/>
                <w:bottom w:val="none" w:sz="0" w:space="0" w:color="auto"/>
                <w:right w:val="none" w:sz="0" w:space="0" w:color="auto"/>
              </w:divBdr>
              <w:divsChild>
                <w:div w:id="503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3185">
      <w:bodyDiv w:val="1"/>
      <w:marLeft w:val="0"/>
      <w:marRight w:val="0"/>
      <w:marTop w:val="0"/>
      <w:marBottom w:val="0"/>
      <w:divBdr>
        <w:top w:val="none" w:sz="0" w:space="0" w:color="auto"/>
        <w:left w:val="none" w:sz="0" w:space="0" w:color="auto"/>
        <w:bottom w:val="none" w:sz="0" w:space="0" w:color="auto"/>
        <w:right w:val="none" w:sz="0" w:space="0" w:color="auto"/>
      </w:divBdr>
    </w:div>
    <w:div w:id="21241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ebarchive.nationalarchives.gov.uk/20141211024015/https://www.gov.uk/government/publications/drafting-bills-for-parliament"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od-law" TargetMode="External"/><Relationship Id="rId1" Type="http://schemas.openxmlformats.org/officeDocument/2006/relationships/hyperlink" Target="mailto:h.xanthaki@ucl.ac.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AAE0B4-EEA7-429F-896E-DE62C18E1FF4}" type="doc">
      <dgm:prSet loTypeId="urn:microsoft.com/office/officeart/2005/8/layout/pyramid1" loCatId="pyramid" qsTypeId="urn:microsoft.com/office/officeart/2005/8/quickstyle/simple1" qsCatId="simple" csTypeId="urn:microsoft.com/office/officeart/2005/8/colors/accent1_2" csCatId="accent1" phldr="1"/>
      <dgm:spPr/>
    </dgm:pt>
    <dgm:pt modelId="{483FABE7-56FA-434C-8328-39D6466774A3}">
      <dgm:prSet/>
      <dgm:spPr/>
      <dgm:t>
        <a:bodyPr/>
        <a:lstStyle/>
        <a:p>
          <a:pPr marR="0" algn="ctr" rtl="0"/>
          <a:endParaRPr lang="en-GB" b="1" baseline="0">
            <a:solidFill>
              <a:srgbClr val="000000"/>
            </a:solidFill>
            <a:latin typeface="Tahoma"/>
          </a:endParaRPr>
        </a:p>
        <a:p>
          <a:pPr marR="0" algn="ctr" rtl="0"/>
          <a:r>
            <a:rPr lang="en-GB" b="0" baseline="0">
              <a:solidFill>
                <a:srgbClr val="000000"/>
              </a:solidFill>
              <a:latin typeface="Tahoma"/>
            </a:rPr>
            <a:t>Regulatory</a:t>
          </a:r>
        </a:p>
        <a:p>
          <a:pPr marR="0" algn="ctr" rtl="0"/>
          <a:r>
            <a:rPr lang="en-GB" b="0" baseline="0">
              <a:solidFill>
                <a:srgbClr val="000000"/>
              </a:solidFill>
              <a:latin typeface="Tahoma"/>
            </a:rPr>
            <a:t>Efficacy</a:t>
          </a:r>
          <a:r>
            <a:rPr lang="en-GB" b="1" baseline="0">
              <a:solidFill>
                <a:srgbClr val="000000"/>
              </a:solidFill>
              <a:latin typeface="Tahoma"/>
            </a:rPr>
            <a:t> </a:t>
          </a:r>
          <a:endParaRPr lang="en-GB"/>
        </a:p>
      </dgm:t>
    </dgm:pt>
    <dgm:pt modelId="{089C3944-4992-4FCF-9F29-A616680651DA}" type="parTrans" cxnId="{B24E08AC-85E8-4714-9A28-6511CF3D877C}">
      <dgm:prSet/>
      <dgm:spPr/>
      <dgm:t>
        <a:bodyPr/>
        <a:lstStyle/>
        <a:p>
          <a:endParaRPr lang="en-GB"/>
        </a:p>
      </dgm:t>
    </dgm:pt>
    <dgm:pt modelId="{39B011FC-1D36-471A-B19B-E74EA9B68F4F}" type="sibTrans" cxnId="{B24E08AC-85E8-4714-9A28-6511CF3D877C}">
      <dgm:prSet/>
      <dgm:spPr/>
      <dgm:t>
        <a:bodyPr/>
        <a:lstStyle/>
        <a:p>
          <a:endParaRPr lang="en-GB"/>
        </a:p>
      </dgm:t>
    </dgm:pt>
    <dgm:pt modelId="{923CE12D-8286-4618-91B5-2F8DDD1EC7B2}">
      <dgm:prSet/>
      <dgm:spPr/>
      <dgm:t>
        <a:bodyPr/>
        <a:lstStyle/>
        <a:p>
          <a:pPr marR="0" algn="ctr" rtl="0"/>
          <a:endParaRPr lang="en-GB" b="0" baseline="0">
            <a:solidFill>
              <a:srgbClr val="000000"/>
            </a:solidFill>
            <a:latin typeface="Tahoma"/>
          </a:endParaRPr>
        </a:p>
        <a:p>
          <a:pPr marR="0" algn="ctr" rtl="0"/>
          <a:r>
            <a:rPr lang="en-GB" b="0" baseline="0">
              <a:solidFill>
                <a:srgbClr val="000000"/>
              </a:solidFill>
              <a:latin typeface="Tahoma"/>
            </a:rPr>
            <a:t>Legislative Effectiveness</a:t>
          </a:r>
        </a:p>
        <a:p>
          <a:pPr marR="0" algn="l" rtl="0"/>
          <a:r>
            <a:rPr lang="en-GB" b="0" baseline="0">
              <a:solidFill>
                <a:srgbClr val="000000"/>
              </a:solidFill>
              <a:latin typeface="Tahoma"/>
            </a:rPr>
            <a:t>	[Cost-efficiency]</a:t>
          </a:r>
        </a:p>
        <a:p>
          <a:pPr marR="0" algn="ctr" rtl="0"/>
          <a:endParaRPr lang="en-GB" baseline="0">
            <a:solidFill>
              <a:srgbClr val="000000"/>
            </a:solidFill>
            <a:latin typeface="Tahoma"/>
          </a:endParaRPr>
        </a:p>
      </dgm:t>
    </dgm:pt>
    <dgm:pt modelId="{2E105AF5-2586-4F5D-BCB6-ADD04DF4CAB3}" type="parTrans" cxnId="{64381F2F-F8A9-4180-934F-A35528F7777F}">
      <dgm:prSet/>
      <dgm:spPr/>
      <dgm:t>
        <a:bodyPr/>
        <a:lstStyle/>
        <a:p>
          <a:endParaRPr lang="en-GB"/>
        </a:p>
      </dgm:t>
    </dgm:pt>
    <dgm:pt modelId="{8A71AC81-FC34-41D9-8114-A64987094483}" type="sibTrans" cxnId="{64381F2F-F8A9-4180-934F-A35528F7777F}">
      <dgm:prSet/>
      <dgm:spPr/>
      <dgm:t>
        <a:bodyPr/>
        <a:lstStyle/>
        <a:p>
          <a:endParaRPr lang="en-GB"/>
        </a:p>
      </dgm:t>
    </dgm:pt>
    <dgm:pt modelId="{3F0FE949-7218-4592-A6FF-05F121382A99}">
      <dgm:prSet/>
      <dgm:spPr/>
      <dgm:t>
        <a:bodyPr/>
        <a:lstStyle/>
        <a:p>
          <a:pPr marR="0" algn="ctr" rtl="0"/>
          <a:r>
            <a:rPr lang="en-GB" b="0" baseline="0">
              <a:solidFill>
                <a:srgbClr val="000000"/>
              </a:solidFill>
              <a:latin typeface="Tahoma"/>
            </a:rPr>
            <a:t>Clarity</a:t>
          </a:r>
        </a:p>
        <a:p>
          <a:pPr marR="0" algn="ctr" rtl="0"/>
          <a:r>
            <a:rPr lang="en-GB" b="0" baseline="0">
              <a:solidFill>
                <a:srgbClr val="000000"/>
              </a:solidFill>
              <a:latin typeface="Tahoma"/>
            </a:rPr>
            <a:t>   Precision</a:t>
          </a:r>
        </a:p>
        <a:p>
          <a:pPr marR="0" algn="ctr" rtl="0"/>
          <a:r>
            <a:rPr lang="en-GB" b="0" baseline="0">
              <a:solidFill>
                <a:srgbClr val="000000"/>
              </a:solidFill>
              <a:latin typeface="Tahoma"/>
            </a:rPr>
            <a:t>     Unambiguity</a:t>
          </a:r>
          <a:endParaRPr lang="en-GB" b="0"/>
        </a:p>
      </dgm:t>
    </dgm:pt>
    <dgm:pt modelId="{65194ECC-4F75-48FD-9BE9-9EC1216242A7}" type="parTrans" cxnId="{B542907B-4937-4F39-9D84-B4FAA707326C}">
      <dgm:prSet/>
      <dgm:spPr/>
      <dgm:t>
        <a:bodyPr/>
        <a:lstStyle/>
        <a:p>
          <a:endParaRPr lang="en-GB"/>
        </a:p>
      </dgm:t>
    </dgm:pt>
    <dgm:pt modelId="{F83A5505-92EE-427B-A74C-44BBBF5DB626}" type="sibTrans" cxnId="{B542907B-4937-4F39-9D84-B4FAA707326C}">
      <dgm:prSet/>
      <dgm:spPr/>
      <dgm:t>
        <a:bodyPr/>
        <a:lstStyle/>
        <a:p>
          <a:endParaRPr lang="en-GB"/>
        </a:p>
      </dgm:t>
    </dgm:pt>
    <dgm:pt modelId="{7655F577-DAB3-4F50-85AA-13B6D02B96BD}">
      <dgm:prSet/>
      <dgm:spPr/>
      <dgm:t>
        <a:bodyPr/>
        <a:lstStyle/>
        <a:p>
          <a:pPr marR="0" algn="ctr" rtl="0"/>
          <a:r>
            <a:rPr lang="en-GB" b="1" baseline="0">
              <a:solidFill>
                <a:srgbClr val="000000"/>
              </a:solidFill>
              <a:latin typeface="Tahoma"/>
            </a:rPr>
            <a:t>     </a:t>
          </a:r>
          <a:r>
            <a:rPr lang="en-GB" b="0" baseline="0">
              <a:solidFill>
                <a:srgbClr val="000000"/>
              </a:solidFill>
              <a:latin typeface="Tahoma"/>
            </a:rPr>
            <a:t>Easified language</a:t>
          </a:r>
        </a:p>
        <a:p>
          <a:pPr marR="0" algn="ctr" rtl="0"/>
          <a:r>
            <a:rPr lang="en-GB" b="0" baseline="0">
              <a:solidFill>
                <a:srgbClr val="000000"/>
              </a:solidFill>
              <a:latin typeface="Tahoma"/>
            </a:rPr>
            <a:t>             Gender inclusive language</a:t>
          </a:r>
          <a:endParaRPr lang="en-GB" b="0"/>
        </a:p>
      </dgm:t>
    </dgm:pt>
    <dgm:pt modelId="{4A48859F-36A9-4DB0-83D9-A2F2298CD753}" type="parTrans" cxnId="{B735DBA3-36BB-4CE4-B005-DC784B4210CF}">
      <dgm:prSet/>
      <dgm:spPr/>
      <dgm:t>
        <a:bodyPr/>
        <a:lstStyle/>
        <a:p>
          <a:endParaRPr lang="en-GB"/>
        </a:p>
      </dgm:t>
    </dgm:pt>
    <dgm:pt modelId="{10818A41-F48F-40D7-BA7D-B7E9D4EFB0E2}" type="sibTrans" cxnId="{B735DBA3-36BB-4CE4-B005-DC784B4210CF}">
      <dgm:prSet/>
      <dgm:spPr/>
      <dgm:t>
        <a:bodyPr/>
        <a:lstStyle/>
        <a:p>
          <a:endParaRPr lang="en-GB"/>
        </a:p>
      </dgm:t>
    </dgm:pt>
    <dgm:pt modelId="{D27006F4-53D5-4994-8E50-09BCC3434264}" type="pres">
      <dgm:prSet presAssocID="{F8AAE0B4-EEA7-429F-896E-DE62C18E1FF4}" presName="Name0" presStyleCnt="0">
        <dgm:presLayoutVars>
          <dgm:dir/>
          <dgm:animLvl val="lvl"/>
          <dgm:resizeHandles val="exact"/>
        </dgm:presLayoutVars>
      </dgm:prSet>
      <dgm:spPr/>
    </dgm:pt>
    <dgm:pt modelId="{7D4B78C2-FC0A-4032-BE08-056F413FEC84}" type="pres">
      <dgm:prSet presAssocID="{483FABE7-56FA-434C-8328-39D6466774A3}" presName="Name8" presStyleCnt="0"/>
      <dgm:spPr/>
    </dgm:pt>
    <dgm:pt modelId="{C0750FD8-50BF-48D5-ADB8-6AC23FC8ED43}" type="pres">
      <dgm:prSet presAssocID="{483FABE7-56FA-434C-8328-39D6466774A3}" presName="level" presStyleLbl="node1" presStyleIdx="0" presStyleCnt="4" custAng="0" custLinFactNeighborX="-1590" custLinFactNeighborY="-45106">
        <dgm:presLayoutVars>
          <dgm:chMax val="1"/>
          <dgm:bulletEnabled val="1"/>
        </dgm:presLayoutVars>
      </dgm:prSet>
      <dgm:spPr/>
      <dgm:t>
        <a:bodyPr/>
        <a:lstStyle/>
        <a:p>
          <a:endParaRPr lang="en-US"/>
        </a:p>
      </dgm:t>
    </dgm:pt>
    <dgm:pt modelId="{080035B1-FD96-42DB-96DF-F704F54EDAB6}" type="pres">
      <dgm:prSet presAssocID="{483FABE7-56FA-434C-8328-39D6466774A3}" presName="levelTx" presStyleLbl="revTx" presStyleIdx="0" presStyleCnt="0">
        <dgm:presLayoutVars>
          <dgm:chMax val="1"/>
          <dgm:bulletEnabled val="1"/>
        </dgm:presLayoutVars>
      </dgm:prSet>
      <dgm:spPr/>
      <dgm:t>
        <a:bodyPr/>
        <a:lstStyle/>
        <a:p>
          <a:endParaRPr lang="en-US"/>
        </a:p>
      </dgm:t>
    </dgm:pt>
    <dgm:pt modelId="{A958A5F3-2BA2-49D0-94FD-0B5D41602440}" type="pres">
      <dgm:prSet presAssocID="{923CE12D-8286-4618-91B5-2F8DDD1EC7B2}" presName="Name8" presStyleCnt="0"/>
      <dgm:spPr/>
    </dgm:pt>
    <dgm:pt modelId="{BAA82829-5ADC-4751-BB06-9DEC0309106E}" type="pres">
      <dgm:prSet presAssocID="{923CE12D-8286-4618-91B5-2F8DDD1EC7B2}" presName="level" presStyleLbl="node1" presStyleIdx="1" presStyleCnt="4" custLinFactNeighborX="-1186" custLinFactNeighborY="-3089">
        <dgm:presLayoutVars>
          <dgm:chMax val="1"/>
          <dgm:bulletEnabled val="1"/>
        </dgm:presLayoutVars>
      </dgm:prSet>
      <dgm:spPr/>
      <dgm:t>
        <a:bodyPr/>
        <a:lstStyle/>
        <a:p>
          <a:endParaRPr lang="en-US"/>
        </a:p>
      </dgm:t>
    </dgm:pt>
    <dgm:pt modelId="{7FC0FA5C-3D0A-41C8-BC69-1F8C3CC306DC}" type="pres">
      <dgm:prSet presAssocID="{923CE12D-8286-4618-91B5-2F8DDD1EC7B2}" presName="levelTx" presStyleLbl="revTx" presStyleIdx="0" presStyleCnt="0">
        <dgm:presLayoutVars>
          <dgm:chMax val="1"/>
          <dgm:bulletEnabled val="1"/>
        </dgm:presLayoutVars>
      </dgm:prSet>
      <dgm:spPr/>
      <dgm:t>
        <a:bodyPr/>
        <a:lstStyle/>
        <a:p>
          <a:endParaRPr lang="en-US"/>
        </a:p>
      </dgm:t>
    </dgm:pt>
    <dgm:pt modelId="{EC824973-6268-4545-8F9F-94398FE81CB1}" type="pres">
      <dgm:prSet presAssocID="{3F0FE949-7218-4592-A6FF-05F121382A99}" presName="Name8" presStyleCnt="0"/>
      <dgm:spPr/>
    </dgm:pt>
    <dgm:pt modelId="{73428C66-D155-4C8B-94C7-8AE16A11D6EF}" type="pres">
      <dgm:prSet presAssocID="{3F0FE949-7218-4592-A6FF-05F121382A99}" presName="level" presStyleLbl="node1" presStyleIdx="2" presStyleCnt="4">
        <dgm:presLayoutVars>
          <dgm:chMax val="1"/>
          <dgm:bulletEnabled val="1"/>
        </dgm:presLayoutVars>
      </dgm:prSet>
      <dgm:spPr/>
      <dgm:t>
        <a:bodyPr/>
        <a:lstStyle/>
        <a:p>
          <a:endParaRPr lang="en-US"/>
        </a:p>
      </dgm:t>
    </dgm:pt>
    <dgm:pt modelId="{4D07897E-2D24-4854-B7BB-F6021AA63224}" type="pres">
      <dgm:prSet presAssocID="{3F0FE949-7218-4592-A6FF-05F121382A99}" presName="levelTx" presStyleLbl="revTx" presStyleIdx="0" presStyleCnt="0">
        <dgm:presLayoutVars>
          <dgm:chMax val="1"/>
          <dgm:bulletEnabled val="1"/>
        </dgm:presLayoutVars>
      </dgm:prSet>
      <dgm:spPr/>
      <dgm:t>
        <a:bodyPr/>
        <a:lstStyle/>
        <a:p>
          <a:endParaRPr lang="en-US"/>
        </a:p>
      </dgm:t>
    </dgm:pt>
    <dgm:pt modelId="{56AF6C63-456D-41AD-8777-D6B7827C473E}" type="pres">
      <dgm:prSet presAssocID="{7655F577-DAB3-4F50-85AA-13B6D02B96BD}" presName="Name8" presStyleCnt="0"/>
      <dgm:spPr/>
    </dgm:pt>
    <dgm:pt modelId="{08275E78-4D55-4AB1-901A-44678A5F87B8}" type="pres">
      <dgm:prSet presAssocID="{7655F577-DAB3-4F50-85AA-13B6D02B96BD}" presName="level" presStyleLbl="node1" presStyleIdx="3" presStyleCnt="4">
        <dgm:presLayoutVars>
          <dgm:chMax val="1"/>
          <dgm:bulletEnabled val="1"/>
        </dgm:presLayoutVars>
      </dgm:prSet>
      <dgm:spPr/>
      <dgm:t>
        <a:bodyPr/>
        <a:lstStyle/>
        <a:p>
          <a:endParaRPr lang="en-US"/>
        </a:p>
      </dgm:t>
    </dgm:pt>
    <dgm:pt modelId="{1CD516A9-CEF4-497E-90D8-E778542149A1}" type="pres">
      <dgm:prSet presAssocID="{7655F577-DAB3-4F50-85AA-13B6D02B96BD}" presName="levelTx" presStyleLbl="revTx" presStyleIdx="0" presStyleCnt="0">
        <dgm:presLayoutVars>
          <dgm:chMax val="1"/>
          <dgm:bulletEnabled val="1"/>
        </dgm:presLayoutVars>
      </dgm:prSet>
      <dgm:spPr/>
      <dgm:t>
        <a:bodyPr/>
        <a:lstStyle/>
        <a:p>
          <a:endParaRPr lang="en-US"/>
        </a:p>
      </dgm:t>
    </dgm:pt>
  </dgm:ptLst>
  <dgm:cxnLst>
    <dgm:cxn modelId="{C8ABBC84-FE5F-4AFF-A490-92E2EF476EDD}" type="presOf" srcId="{F8AAE0B4-EEA7-429F-896E-DE62C18E1FF4}" destId="{D27006F4-53D5-4994-8E50-09BCC3434264}" srcOrd="0" destOrd="0" presId="urn:microsoft.com/office/officeart/2005/8/layout/pyramid1"/>
    <dgm:cxn modelId="{651592FB-DE2C-4DB6-8430-3184EFDD01FC}" type="presOf" srcId="{923CE12D-8286-4618-91B5-2F8DDD1EC7B2}" destId="{BAA82829-5ADC-4751-BB06-9DEC0309106E}" srcOrd="0" destOrd="0" presId="urn:microsoft.com/office/officeart/2005/8/layout/pyramid1"/>
    <dgm:cxn modelId="{64381F2F-F8A9-4180-934F-A35528F7777F}" srcId="{F8AAE0B4-EEA7-429F-896E-DE62C18E1FF4}" destId="{923CE12D-8286-4618-91B5-2F8DDD1EC7B2}" srcOrd="1" destOrd="0" parTransId="{2E105AF5-2586-4F5D-BCB6-ADD04DF4CAB3}" sibTransId="{8A71AC81-FC34-41D9-8114-A64987094483}"/>
    <dgm:cxn modelId="{1967290C-6AF1-4BB9-9B9D-136BB6ECA4B1}" type="presOf" srcId="{483FABE7-56FA-434C-8328-39D6466774A3}" destId="{C0750FD8-50BF-48D5-ADB8-6AC23FC8ED43}" srcOrd="0" destOrd="0" presId="urn:microsoft.com/office/officeart/2005/8/layout/pyramid1"/>
    <dgm:cxn modelId="{11B0F571-D70B-4A26-A08C-3E07BD0D08AB}" type="presOf" srcId="{3F0FE949-7218-4592-A6FF-05F121382A99}" destId="{4D07897E-2D24-4854-B7BB-F6021AA63224}" srcOrd="1" destOrd="0" presId="urn:microsoft.com/office/officeart/2005/8/layout/pyramid1"/>
    <dgm:cxn modelId="{E26D709A-37CE-40DC-A04B-AFCFE347FED0}" type="presOf" srcId="{923CE12D-8286-4618-91B5-2F8DDD1EC7B2}" destId="{7FC0FA5C-3D0A-41C8-BC69-1F8C3CC306DC}" srcOrd="1" destOrd="0" presId="urn:microsoft.com/office/officeart/2005/8/layout/pyramid1"/>
    <dgm:cxn modelId="{B735DBA3-36BB-4CE4-B005-DC784B4210CF}" srcId="{F8AAE0B4-EEA7-429F-896E-DE62C18E1FF4}" destId="{7655F577-DAB3-4F50-85AA-13B6D02B96BD}" srcOrd="3" destOrd="0" parTransId="{4A48859F-36A9-4DB0-83D9-A2F2298CD753}" sibTransId="{10818A41-F48F-40D7-BA7D-B7E9D4EFB0E2}"/>
    <dgm:cxn modelId="{00FBA2A2-5570-4543-BFAE-DFC70023B5D2}" type="presOf" srcId="{3F0FE949-7218-4592-A6FF-05F121382A99}" destId="{73428C66-D155-4C8B-94C7-8AE16A11D6EF}" srcOrd="0" destOrd="0" presId="urn:microsoft.com/office/officeart/2005/8/layout/pyramid1"/>
    <dgm:cxn modelId="{B542907B-4937-4F39-9D84-B4FAA707326C}" srcId="{F8AAE0B4-EEA7-429F-896E-DE62C18E1FF4}" destId="{3F0FE949-7218-4592-A6FF-05F121382A99}" srcOrd="2" destOrd="0" parTransId="{65194ECC-4F75-48FD-9BE9-9EC1216242A7}" sibTransId="{F83A5505-92EE-427B-A74C-44BBBF5DB626}"/>
    <dgm:cxn modelId="{FFB1D3C0-8044-4DAC-A7DE-DB3829533A2E}" type="presOf" srcId="{7655F577-DAB3-4F50-85AA-13B6D02B96BD}" destId="{08275E78-4D55-4AB1-901A-44678A5F87B8}" srcOrd="0" destOrd="0" presId="urn:microsoft.com/office/officeart/2005/8/layout/pyramid1"/>
    <dgm:cxn modelId="{6D7860E2-079D-4B0B-8F8C-18DD31A66352}" type="presOf" srcId="{483FABE7-56FA-434C-8328-39D6466774A3}" destId="{080035B1-FD96-42DB-96DF-F704F54EDAB6}" srcOrd="1" destOrd="0" presId="urn:microsoft.com/office/officeart/2005/8/layout/pyramid1"/>
    <dgm:cxn modelId="{B24E08AC-85E8-4714-9A28-6511CF3D877C}" srcId="{F8AAE0B4-EEA7-429F-896E-DE62C18E1FF4}" destId="{483FABE7-56FA-434C-8328-39D6466774A3}" srcOrd="0" destOrd="0" parTransId="{089C3944-4992-4FCF-9F29-A616680651DA}" sibTransId="{39B011FC-1D36-471A-B19B-E74EA9B68F4F}"/>
    <dgm:cxn modelId="{05E5A056-D635-4888-AFC8-2064A9632464}" type="presOf" srcId="{7655F577-DAB3-4F50-85AA-13B6D02B96BD}" destId="{1CD516A9-CEF4-497E-90D8-E778542149A1}" srcOrd="1" destOrd="0" presId="urn:microsoft.com/office/officeart/2005/8/layout/pyramid1"/>
    <dgm:cxn modelId="{9CB16369-F2B4-49A1-9B26-027850BA0114}" type="presParOf" srcId="{D27006F4-53D5-4994-8E50-09BCC3434264}" destId="{7D4B78C2-FC0A-4032-BE08-056F413FEC84}" srcOrd="0" destOrd="0" presId="urn:microsoft.com/office/officeart/2005/8/layout/pyramid1"/>
    <dgm:cxn modelId="{21A826DD-6CB9-401C-B17B-17AC6DC04ABE}" type="presParOf" srcId="{7D4B78C2-FC0A-4032-BE08-056F413FEC84}" destId="{C0750FD8-50BF-48D5-ADB8-6AC23FC8ED43}" srcOrd="0" destOrd="0" presId="urn:microsoft.com/office/officeart/2005/8/layout/pyramid1"/>
    <dgm:cxn modelId="{F3DD750A-EE04-4493-8B22-55F375F2124E}" type="presParOf" srcId="{7D4B78C2-FC0A-4032-BE08-056F413FEC84}" destId="{080035B1-FD96-42DB-96DF-F704F54EDAB6}" srcOrd="1" destOrd="0" presId="urn:microsoft.com/office/officeart/2005/8/layout/pyramid1"/>
    <dgm:cxn modelId="{0552CAA3-EC59-4508-84EB-DC7D571C516C}" type="presParOf" srcId="{D27006F4-53D5-4994-8E50-09BCC3434264}" destId="{A958A5F3-2BA2-49D0-94FD-0B5D41602440}" srcOrd="1" destOrd="0" presId="urn:microsoft.com/office/officeart/2005/8/layout/pyramid1"/>
    <dgm:cxn modelId="{0B0E096D-CD2E-4324-BAA2-317419C2B1D2}" type="presParOf" srcId="{A958A5F3-2BA2-49D0-94FD-0B5D41602440}" destId="{BAA82829-5ADC-4751-BB06-9DEC0309106E}" srcOrd="0" destOrd="0" presId="urn:microsoft.com/office/officeart/2005/8/layout/pyramid1"/>
    <dgm:cxn modelId="{7C66E47E-C96D-45B5-A374-BD98D084735B}" type="presParOf" srcId="{A958A5F3-2BA2-49D0-94FD-0B5D41602440}" destId="{7FC0FA5C-3D0A-41C8-BC69-1F8C3CC306DC}" srcOrd="1" destOrd="0" presId="urn:microsoft.com/office/officeart/2005/8/layout/pyramid1"/>
    <dgm:cxn modelId="{1C1F561F-6247-46AF-98BA-54ED916E34BB}" type="presParOf" srcId="{D27006F4-53D5-4994-8E50-09BCC3434264}" destId="{EC824973-6268-4545-8F9F-94398FE81CB1}" srcOrd="2" destOrd="0" presId="urn:microsoft.com/office/officeart/2005/8/layout/pyramid1"/>
    <dgm:cxn modelId="{43213F0A-9E67-4D07-A9D2-B79EAA69AB62}" type="presParOf" srcId="{EC824973-6268-4545-8F9F-94398FE81CB1}" destId="{73428C66-D155-4C8B-94C7-8AE16A11D6EF}" srcOrd="0" destOrd="0" presId="urn:microsoft.com/office/officeart/2005/8/layout/pyramid1"/>
    <dgm:cxn modelId="{5519067D-D1B2-406D-9096-1DB520FFBAEA}" type="presParOf" srcId="{EC824973-6268-4545-8F9F-94398FE81CB1}" destId="{4D07897E-2D24-4854-B7BB-F6021AA63224}" srcOrd="1" destOrd="0" presId="urn:microsoft.com/office/officeart/2005/8/layout/pyramid1"/>
    <dgm:cxn modelId="{AC9A2CFF-40C3-48D0-8290-2AB917428379}" type="presParOf" srcId="{D27006F4-53D5-4994-8E50-09BCC3434264}" destId="{56AF6C63-456D-41AD-8777-D6B7827C473E}" srcOrd="3" destOrd="0" presId="urn:microsoft.com/office/officeart/2005/8/layout/pyramid1"/>
    <dgm:cxn modelId="{C38C18DA-23F2-43C6-AB98-866247033116}" type="presParOf" srcId="{56AF6C63-456D-41AD-8777-D6B7827C473E}" destId="{08275E78-4D55-4AB1-901A-44678A5F87B8}" srcOrd="0" destOrd="0" presId="urn:microsoft.com/office/officeart/2005/8/layout/pyramid1"/>
    <dgm:cxn modelId="{53C015B4-5456-41C7-986E-55A1DBB7A252}" type="presParOf" srcId="{56AF6C63-456D-41AD-8777-D6B7827C473E}" destId="{1CD516A9-CEF4-497E-90D8-E778542149A1}"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750FD8-50BF-48D5-ADB8-6AC23FC8ED43}">
      <dsp:nvSpPr>
        <dsp:cNvPr id="0" name=""/>
        <dsp:cNvSpPr/>
      </dsp:nvSpPr>
      <dsp:spPr>
        <a:xfrm>
          <a:off x="1904833" y="0"/>
          <a:ext cx="1283493" cy="520065"/>
        </a:xfrm>
        <a:prstGeom prst="trapezoid">
          <a:avLst>
            <a:gd name="adj" fmla="val 12339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311150" rtl="0">
            <a:lnSpc>
              <a:spcPct val="90000"/>
            </a:lnSpc>
            <a:spcBef>
              <a:spcPct val="0"/>
            </a:spcBef>
            <a:spcAft>
              <a:spcPct val="35000"/>
            </a:spcAft>
          </a:pPr>
          <a:endParaRPr lang="en-GB" sz="700" b="1" kern="1200" baseline="0">
            <a:solidFill>
              <a:srgbClr val="000000"/>
            </a:solidFill>
            <a:latin typeface="Tahoma"/>
          </a:endParaRPr>
        </a:p>
        <a:p>
          <a:pPr marR="0" lvl="0" algn="ctr" defTabSz="311150" rtl="0">
            <a:lnSpc>
              <a:spcPct val="90000"/>
            </a:lnSpc>
            <a:spcBef>
              <a:spcPct val="0"/>
            </a:spcBef>
            <a:spcAft>
              <a:spcPct val="35000"/>
            </a:spcAft>
          </a:pPr>
          <a:r>
            <a:rPr lang="en-GB" sz="700" b="0" kern="1200" baseline="0">
              <a:solidFill>
                <a:srgbClr val="000000"/>
              </a:solidFill>
              <a:latin typeface="Tahoma"/>
            </a:rPr>
            <a:t>Regulatory</a:t>
          </a:r>
        </a:p>
        <a:p>
          <a:pPr marR="0" lvl="0" algn="ctr" defTabSz="311150" rtl="0">
            <a:lnSpc>
              <a:spcPct val="90000"/>
            </a:lnSpc>
            <a:spcBef>
              <a:spcPct val="0"/>
            </a:spcBef>
            <a:spcAft>
              <a:spcPct val="35000"/>
            </a:spcAft>
          </a:pPr>
          <a:r>
            <a:rPr lang="en-GB" sz="700" b="0" kern="1200" baseline="0">
              <a:solidFill>
                <a:srgbClr val="000000"/>
              </a:solidFill>
              <a:latin typeface="Tahoma"/>
            </a:rPr>
            <a:t>Efficacy</a:t>
          </a:r>
          <a:r>
            <a:rPr lang="en-GB" sz="700" b="1" kern="1200" baseline="0">
              <a:solidFill>
                <a:srgbClr val="000000"/>
              </a:solidFill>
              <a:latin typeface="Tahoma"/>
            </a:rPr>
            <a:t> </a:t>
          </a:r>
          <a:endParaRPr lang="en-GB" sz="700" kern="1200"/>
        </a:p>
      </dsp:txBody>
      <dsp:txXfrm>
        <a:off x="1904833" y="0"/>
        <a:ext cx="1283493" cy="520065"/>
      </dsp:txXfrm>
    </dsp:sp>
    <dsp:sp modelId="{BAA82829-5ADC-4751-BB06-9DEC0309106E}">
      <dsp:nvSpPr>
        <dsp:cNvPr id="0" name=""/>
        <dsp:cNvSpPr/>
      </dsp:nvSpPr>
      <dsp:spPr>
        <a:xfrm>
          <a:off x="1253049" y="504000"/>
          <a:ext cx="2566987" cy="520065"/>
        </a:xfrm>
        <a:prstGeom prst="trapezoid">
          <a:avLst>
            <a:gd name="adj" fmla="val 12339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311150" rtl="0">
            <a:lnSpc>
              <a:spcPct val="90000"/>
            </a:lnSpc>
            <a:spcBef>
              <a:spcPct val="0"/>
            </a:spcBef>
            <a:spcAft>
              <a:spcPct val="35000"/>
            </a:spcAft>
          </a:pPr>
          <a:endParaRPr lang="en-GB" sz="700" b="0" kern="1200" baseline="0">
            <a:solidFill>
              <a:srgbClr val="000000"/>
            </a:solidFill>
            <a:latin typeface="Tahoma"/>
          </a:endParaRPr>
        </a:p>
        <a:p>
          <a:pPr marR="0" lvl="0" algn="ctr" defTabSz="311150" rtl="0">
            <a:lnSpc>
              <a:spcPct val="90000"/>
            </a:lnSpc>
            <a:spcBef>
              <a:spcPct val="0"/>
            </a:spcBef>
            <a:spcAft>
              <a:spcPct val="35000"/>
            </a:spcAft>
          </a:pPr>
          <a:r>
            <a:rPr lang="en-GB" sz="700" b="0" kern="1200" baseline="0">
              <a:solidFill>
                <a:srgbClr val="000000"/>
              </a:solidFill>
              <a:latin typeface="Tahoma"/>
            </a:rPr>
            <a:t>Legislative Effectiveness</a:t>
          </a:r>
        </a:p>
        <a:p>
          <a:pPr marR="0" lvl="0" algn="l" defTabSz="311150" rtl="0">
            <a:lnSpc>
              <a:spcPct val="90000"/>
            </a:lnSpc>
            <a:spcBef>
              <a:spcPct val="0"/>
            </a:spcBef>
            <a:spcAft>
              <a:spcPct val="35000"/>
            </a:spcAft>
          </a:pPr>
          <a:r>
            <a:rPr lang="en-GB" sz="700" b="0" kern="1200" baseline="0">
              <a:solidFill>
                <a:srgbClr val="000000"/>
              </a:solidFill>
              <a:latin typeface="Tahoma"/>
            </a:rPr>
            <a:t>	[Cost-efficiency]</a:t>
          </a:r>
        </a:p>
        <a:p>
          <a:pPr marR="0" lvl="0" algn="ctr" defTabSz="311150" rtl="0">
            <a:lnSpc>
              <a:spcPct val="90000"/>
            </a:lnSpc>
            <a:spcBef>
              <a:spcPct val="0"/>
            </a:spcBef>
            <a:spcAft>
              <a:spcPct val="35000"/>
            </a:spcAft>
          </a:pPr>
          <a:endParaRPr lang="en-GB" sz="700" kern="1200" baseline="0">
            <a:solidFill>
              <a:srgbClr val="000000"/>
            </a:solidFill>
            <a:latin typeface="Tahoma"/>
          </a:endParaRPr>
        </a:p>
      </dsp:txBody>
      <dsp:txXfrm>
        <a:off x="1702272" y="504000"/>
        <a:ext cx="1668541" cy="520065"/>
      </dsp:txXfrm>
    </dsp:sp>
    <dsp:sp modelId="{73428C66-D155-4C8B-94C7-8AE16A11D6EF}">
      <dsp:nvSpPr>
        <dsp:cNvPr id="0" name=""/>
        <dsp:cNvSpPr/>
      </dsp:nvSpPr>
      <dsp:spPr>
        <a:xfrm>
          <a:off x="641746" y="1040129"/>
          <a:ext cx="3850481" cy="520065"/>
        </a:xfrm>
        <a:prstGeom prst="trapezoid">
          <a:avLst>
            <a:gd name="adj" fmla="val 12339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311150" rtl="0">
            <a:lnSpc>
              <a:spcPct val="90000"/>
            </a:lnSpc>
            <a:spcBef>
              <a:spcPct val="0"/>
            </a:spcBef>
            <a:spcAft>
              <a:spcPct val="35000"/>
            </a:spcAft>
          </a:pPr>
          <a:r>
            <a:rPr lang="en-GB" sz="700" b="0" kern="1200" baseline="0">
              <a:solidFill>
                <a:srgbClr val="000000"/>
              </a:solidFill>
              <a:latin typeface="Tahoma"/>
            </a:rPr>
            <a:t>Clarity</a:t>
          </a:r>
        </a:p>
        <a:p>
          <a:pPr marR="0" lvl="0" algn="ctr" defTabSz="311150" rtl="0">
            <a:lnSpc>
              <a:spcPct val="90000"/>
            </a:lnSpc>
            <a:spcBef>
              <a:spcPct val="0"/>
            </a:spcBef>
            <a:spcAft>
              <a:spcPct val="35000"/>
            </a:spcAft>
          </a:pPr>
          <a:r>
            <a:rPr lang="en-GB" sz="700" b="0" kern="1200" baseline="0">
              <a:solidFill>
                <a:srgbClr val="000000"/>
              </a:solidFill>
              <a:latin typeface="Tahoma"/>
            </a:rPr>
            <a:t>   Precision</a:t>
          </a:r>
        </a:p>
        <a:p>
          <a:pPr marR="0" lvl="0" algn="ctr" defTabSz="311150" rtl="0">
            <a:lnSpc>
              <a:spcPct val="90000"/>
            </a:lnSpc>
            <a:spcBef>
              <a:spcPct val="0"/>
            </a:spcBef>
            <a:spcAft>
              <a:spcPct val="35000"/>
            </a:spcAft>
          </a:pPr>
          <a:r>
            <a:rPr lang="en-GB" sz="700" b="0" kern="1200" baseline="0">
              <a:solidFill>
                <a:srgbClr val="000000"/>
              </a:solidFill>
              <a:latin typeface="Tahoma"/>
            </a:rPr>
            <a:t>     Unambiguity</a:t>
          </a:r>
          <a:endParaRPr lang="en-GB" sz="700" b="0" kern="1200"/>
        </a:p>
      </dsp:txBody>
      <dsp:txXfrm>
        <a:off x="1315581" y="1040129"/>
        <a:ext cx="2502812" cy="520065"/>
      </dsp:txXfrm>
    </dsp:sp>
    <dsp:sp modelId="{08275E78-4D55-4AB1-901A-44678A5F87B8}">
      <dsp:nvSpPr>
        <dsp:cNvPr id="0" name=""/>
        <dsp:cNvSpPr/>
      </dsp:nvSpPr>
      <dsp:spPr>
        <a:xfrm>
          <a:off x="0" y="1560195"/>
          <a:ext cx="5133975" cy="520065"/>
        </a:xfrm>
        <a:prstGeom prst="trapezoid">
          <a:avLst>
            <a:gd name="adj" fmla="val 12339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311150" rtl="0">
            <a:lnSpc>
              <a:spcPct val="90000"/>
            </a:lnSpc>
            <a:spcBef>
              <a:spcPct val="0"/>
            </a:spcBef>
            <a:spcAft>
              <a:spcPct val="35000"/>
            </a:spcAft>
          </a:pPr>
          <a:r>
            <a:rPr lang="en-GB" sz="700" b="1" kern="1200" baseline="0">
              <a:solidFill>
                <a:srgbClr val="000000"/>
              </a:solidFill>
              <a:latin typeface="Tahoma"/>
            </a:rPr>
            <a:t>     </a:t>
          </a:r>
          <a:r>
            <a:rPr lang="en-GB" sz="700" b="0" kern="1200" baseline="0">
              <a:solidFill>
                <a:srgbClr val="000000"/>
              </a:solidFill>
              <a:latin typeface="Tahoma"/>
            </a:rPr>
            <a:t>Easified language</a:t>
          </a:r>
        </a:p>
        <a:p>
          <a:pPr marR="0" lvl="0" algn="ctr" defTabSz="311150" rtl="0">
            <a:lnSpc>
              <a:spcPct val="90000"/>
            </a:lnSpc>
            <a:spcBef>
              <a:spcPct val="0"/>
            </a:spcBef>
            <a:spcAft>
              <a:spcPct val="35000"/>
            </a:spcAft>
          </a:pPr>
          <a:r>
            <a:rPr lang="en-GB" sz="700" b="0" kern="1200" baseline="0">
              <a:solidFill>
                <a:srgbClr val="000000"/>
              </a:solidFill>
              <a:latin typeface="Tahoma"/>
            </a:rPr>
            <a:t>             Gender inclusive language</a:t>
          </a:r>
          <a:endParaRPr lang="en-GB" sz="700" b="0" kern="1200"/>
        </a:p>
      </dsp:txBody>
      <dsp:txXfrm>
        <a:off x="898445" y="1560195"/>
        <a:ext cx="3337083" cy="5200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7D832-9E05-4227-9ED7-34EB8248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9202</Words>
  <Characters>52733</Characters>
  <Application>Microsoft Office Word</Application>
  <DocSecurity>0</DocSecurity>
  <Lines>787</Lines>
  <Paragraphs>208</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61727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Helen.Xanthaki</dc:creator>
  <cp:keywords/>
  <dc:description/>
  <cp:lastModifiedBy>Rosemary Hunter</cp:lastModifiedBy>
  <cp:revision>3</cp:revision>
  <cp:lastPrinted>2019-07-10T17:48:00Z</cp:lastPrinted>
  <dcterms:created xsi:type="dcterms:W3CDTF">2020-11-05T22:09:00Z</dcterms:created>
  <dcterms:modified xsi:type="dcterms:W3CDTF">2020-11-05T22:59:00Z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zotero-version="5.0.90"&gt;&lt;session id="ZPQQxhQ2"/&gt;&lt;style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 name="dontAskDelayCitationUpdates" value="true"/&gt;&lt;/prefs&gt;&lt;/data&gt;</vt:lpwstr>
  </property>
</Properties>
</file>