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56CC7" w:rsidRDefault="63DCED76" w:rsidP="00362B82">
      <w:pPr>
        <w:pStyle w:val="Heading2"/>
        <w:spacing w:before="0" w:after="160" w:line="240" w:lineRule="auto"/>
        <w:jc w:val="center"/>
        <w:rPr>
          <w:rFonts w:ascii="Times New Roman" w:eastAsia="Times New Roman" w:hAnsi="Times New Roman" w:cs="Times New Roman"/>
          <w:b/>
          <w:bCs/>
          <w:color w:val="000000"/>
          <w:sz w:val="24"/>
          <w:szCs w:val="24"/>
        </w:rPr>
      </w:pPr>
      <w:bookmarkStart w:id="0" w:name="gjdgxs" w:colFirst="0" w:colLast="0"/>
      <w:bookmarkStart w:id="1" w:name="_30j0zll"/>
      <w:bookmarkEnd w:id="0"/>
      <w:bookmarkEnd w:id="1"/>
      <w:r w:rsidRPr="63DCED76">
        <w:rPr>
          <w:rFonts w:ascii="Times New Roman" w:eastAsia="Times New Roman" w:hAnsi="Times New Roman" w:cs="Times New Roman"/>
          <w:b/>
          <w:bCs/>
          <w:color w:val="000000" w:themeColor="text1"/>
          <w:sz w:val="24"/>
          <w:szCs w:val="24"/>
        </w:rPr>
        <w:t xml:space="preserve">Prerequisites for Movements? Questioning Two </w:t>
      </w:r>
      <w:proofErr w:type="gramStart"/>
      <w:r w:rsidRPr="63DCED76">
        <w:rPr>
          <w:rFonts w:ascii="Times New Roman" w:eastAsia="Times New Roman" w:hAnsi="Times New Roman" w:cs="Times New Roman"/>
          <w:b/>
          <w:bCs/>
          <w:color w:val="000000" w:themeColor="text1"/>
          <w:sz w:val="24"/>
          <w:szCs w:val="24"/>
        </w:rPr>
        <w:t>Widely-Held</w:t>
      </w:r>
      <w:proofErr w:type="gramEnd"/>
      <w:r w:rsidRPr="63DCED76">
        <w:rPr>
          <w:rFonts w:ascii="Times New Roman" w:eastAsia="Times New Roman" w:hAnsi="Times New Roman" w:cs="Times New Roman"/>
          <w:b/>
          <w:bCs/>
          <w:color w:val="000000" w:themeColor="text1"/>
          <w:sz w:val="24"/>
          <w:szCs w:val="24"/>
        </w:rPr>
        <w:t xml:space="preserve"> Assumptions</w:t>
      </w:r>
    </w:p>
    <w:p w14:paraId="00000002" w14:textId="77777777" w:rsidR="00356CC7" w:rsidRDefault="63DCED76" w:rsidP="63DCED76">
      <w:pPr>
        <w:pBdr>
          <w:top w:val="nil"/>
          <w:left w:val="nil"/>
          <w:bottom w:val="nil"/>
          <w:right w:val="nil"/>
          <w:between w:val="nil"/>
        </w:pBdr>
        <w:spacing w:after="160" w:line="240" w:lineRule="auto"/>
        <w:jc w:val="center"/>
        <w:rPr>
          <w:rFonts w:ascii="Times New Roman" w:eastAsia="Times New Roman" w:hAnsi="Times New Roman" w:cs="Times New Roman"/>
          <w:sz w:val="24"/>
          <w:szCs w:val="24"/>
        </w:rPr>
      </w:pPr>
      <w:bookmarkStart w:id="2" w:name="_1fob9te"/>
      <w:bookmarkEnd w:id="2"/>
      <w:r w:rsidRPr="63DCED76">
        <w:rPr>
          <w:rFonts w:ascii="Times New Roman" w:eastAsia="Times New Roman" w:hAnsi="Times New Roman" w:cs="Times New Roman"/>
          <w:sz w:val="24"/>
          <w:szCs w:val="24"/>
        </w:rPr>
        <w:t>Emanuel Prinz, with Dave Coles</w:t>
      </w:r>
    </w:p>
    <w:p w14:paraId="7B958470" w14:textId="36241B88" w:rsidR="63DCED76" w:rsidRDefault="63DCED76" w:rsidP="63DCED76">
      <w:pPr>
        <w:spacing w:after="160" w:line="240" w:lineRule="auto"/>
        <w:jc w:val="center"/>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Published in </w:t>
      </w:r>
      <w:r w:rsidRPr="63DCED76">
        <w:rPr>
          <w:rFonts w:ascii="Times New Roman" w:eastAsia="Times New Roman" w:hAnsi="Times New Roman" w:cs="Times New Roman"/>
          <w:i/>
          <w:iCs/>
          <w:sz w:val="24"/>
          <w:szCs w:val="24"/>
        </w:rPr>
        <w:t>Global Missiology</w:t>
      </w:r>
      <w:r w:rsidRPr="63DCED76">
        <w:rPr>
          <w:rFonts w:ascii="Times New Roman" w:eastAsia="Times New Roman" w:hAnsi="Times New Roman" w:cs="Times New Roman"/>
          <w:sz w:val="24"/>
          <w:szCs w:val="24"/>
        </w:rPr>
        <w:t xml:space="preserve">, </w:t>
      </w:r>
      <w:hyperlink r:id="rId6">
        <w:r w:rsidRPr="63DCED76">
          <w:rPr>
            <w:rStyle w:val="Hyperlink"/>
            <w:rFonts w:ascii="Times New Roman" w:eastAsia="Times New Roman" w:hAnsi="Times New Roman" w:cs="Times New Roman"/>
            <w:color w:val="auto"/>
            <w:sz w:val="24"/>
            <w:szCs w:val="24"/>
          </w:rPr>
          <w:t>www.globalmissiology.org</w:t>
        </w:r>
      </w:hyperlink>
      <w:r w:rsidRPr="63DCED76">
        <w:rPr>
          <w:rFonts w:ascii="Times New Roman" w:eastAsia="Times New Roman" w:hAnsi="Times New Roman" w:cs="Times New Roman"/>
          <w:sz w:val="24"/>
          <w:szCs w:val="24"/>
        </w:rPr>
        <w:t>, January 2022</w:t>
      </w:r>
    </w:p>
    <w:p w14:paraId="00000003" w14:textId="77777777" w:rsidR="00356CC7" w:rsidRDefault="63DCED76" w:rsidP="63DCED76">
      <w:pPr>
        <w:pStyle w:val="Heading1"/>
        <w:spacing w:before="0" w:after="160" w:line="240" w:lineRule="auto"/>
        <w:jc w:val="both"/>
        <w:rPr>
          <w:rFonts w:ascii="Times New Roman" w:eastAsia="Times New Roman" w:hAnsi="Times New Roman" w:cs="Times New Roman"/>
          <w:b/>
          <w:bCs/>
          <w:color w:val="000000"/>
          <w:sz w:val="24"/>
          <w:szCs w:val="24"/>
        </w:rPr>
      </w:pPr>
      <w:r w:rsidRPr="63DCED76">
        <w:rPr>
          <w:rFonts w:ascii="Times New Roman" w:eastAsia="Times New Roman" w:hAnsi="Times New Roman" w:cs="Times New Roman"/>
          <w:b/>
          <w:bCs/>
          <w:color w:val="000000" w:themeColor="text1"/>
          <w:sz w:val="24"/>
          <w:szCs w:val="24"/>
        </w:rPr>
        <w:t>Abstract</w:t>
      </w:r>
    </w:p>
    <w:p w14:paraId="00000004" w14:textId="06A4812A" w:rsidR="00356CC7" w:rsidRDefault="72B69E13" w:rsidP="6B65F250">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sidRPr="72B69E13">
        <w:rPr>
          <w:rFonts w:ascii="Times New Roman" w:eastAsia="Times New Roman" w:hAnsi="Times New Roman" w:cs="Times New Roman"/>
          <w:sz w:val="24"/>
          <w:szCs w:val="24"/>
        </w:rPr>
        <w:t xml:space="preserve">The data presented in this article challenge two assumptions that have been held widely among movement thinkers and practitioners: “Movements can only happen after lengthy previous gospel proclamation, by the actual movement catalyst or by preceding pioneers”; </w:t>
      </w:r>
      <w:proofErr w:type="gramStart"/>
      <w:r w:rsidRPr="72B69E13">
        <w:rPr>
          <w:rFonts w:ascii="Times New Roman" w:eastAsia="Times New Roman" w:hAnsi="Times New Roman" w:cs="Times New Roman"/>
          <w:sz w:val="24"/>
          <w:szCs w:val="24"/>
        </w:rPr>
        <w:t>and,</w:t>
      </w:r>
      <w:proofErr w:type="gramEnd"/>
      <w:r w:rsidRPr="72B69E13">
        <w:rPr>
          <w:rFonts w:ascii="Times New Roman" w:eastAsia="Times New Roman" w:hAnsi="Times New Roman" w:cs="Times New Roman"/>
          <w:sz w:val="24"/>
          <w:szCs w:val="24"/>
        </w:rPr>
        <w:t xml:space="preserve"> “Movements only occur among people groups that are receptive to the gospel.” Both notions are challenged by the data of recent research into 35 different movements.</w:t>
      </w:r>
    </w:p>
    <w:p w14:paraId="00000005" w14:textId="2FABFBF3" w:rsidR="00356CC7" w:rsidRDefault="63DCED76" w:rsidP="63DCED76">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sidRPr="63DCED76">
        <w:rPr>
          <w:rFonts w:ascii="Times New Roman" w:eastAsia="Times New Roman" w:hAnsi="Times New Roman" w:cs="Times New Roman"/>
          <w:b/>
          <w:bCs/>
          <w:sz w:val="24"/>
          <w:szCs w:val="24"/>
        </w:rPr>
        <w:t xml:space="preserve">Key Words: </w:t>
      </w:r>
      <w:r w:rsidRPr="63DCED76">
        <w:rPr>
          <w:rFonts w:ascii="Times New Roman" w:eastAsia="Times New Roman" w:hAnsi="Times New Roman" w:cs="Times New Roman"/>
          <w:sz w:val="24"/>
          <w:szCs w:val="24"/>
        </w:rPr>
        <w:t>catalyst, movement, pioneer</w:t>
      </w:r>
    </w:p>
    <w:p w14:paraId="00000006" w14:textId="77777777" w:rsidR="00356CC7" w:rsidRDefault="63DCED76" w:rsidP="63DCED76">
      <w:pPr>
        <w:pStyle w:val="Heading1"/>
        <w:spacing w:before="0" w:after="160" w:line="240" w:lineRule="auto"/>
        <w:jc w:val="both"/>
        <w:rPr>
          <w:rFonts w:ascii="Times New Roman" w:eastAsia="Times New Roman" w:hAnsi="Times New Roman" w:cs="Times New Roman"/>
          <w:b/>
          <w:bCs/>
          <w:color w:val="000000"/>
          <w:sz w:val="24"/>
          <w:szCs w:val="24"/>
        </w:rPr>
      </w:pPr>
      <w:r w:rsidRPr="63DCED76">
        <w:rPr>
          <w:rFonts w:ascii="Times New Roman" w:eastAsia="Times New Roman" w:hAnsi="Times New Roman" w:cs="Times New Roman"/>
          <w:b/>
          <w:bCs/>
          <w:color w:val="000000" w:themeColor="text1"/>
          <w:sz w:val="24"/>
          <w:szCs w:val="24"/>
        </w:rPr>
        <w:t>Introduction</w:t>
      </w:r>
    </w:p>
    <w:p w14:paraId="00000008" w14:textId="5D6A9CAC" w:rsidR="00356CC7" w:rsidRDefault="53CE7795" w:rsidP="6B65F250">
      <w:pPr>
        <w:pBdr>
          <w:top w:val="nil"/>
          <w:left w:val="nil"/>
          <w:bottom w:val="nil"/>
          <w:right w:val="nil"/>
          <w:between w:val="nil"/>
        </w:pBdr>
        <w:spacing w:after="160" w:line="240" w:lineRule="auto"/>
        <w:jc w:val="both"/>
        <w:rPr>
          <w:rFonts w:ascii="Times New Roman" w:eastAsia="Times New Roman" w:hAnsi="Times New Roman" w:cs="Times New Roman"/>
          <w:sz w:val="24"/>
          <w:szCs w:val="24"/>
        </w:rPr>
      </w:pPr>
      <w:r w:rsidRPr="53CE7795">
        <w:rPr>
          <w:rFonts w:ascii="Times New Roman" w:eastAsia="Times New Roman" w:hAnsi="Times New Roman" w:cs="Times New Roman"/>
          <w:sz w:val="24"/>
          <w:szCs w:val="24"/>
        </w:rPr>
        <w:t xml:space="preserve">This study’s recent research among 35 movements in 15 different countries suggests fresh consideration of two very important questions: “Must a movement build on lengthy previous gospel proclamation?” and “Do movements only occur among receptive people groups?” Commonly held assumptions of affirmative answers to these questions may unnecessarily have hindered efforts to initiate movements, </w:t>
      </w:r>
      <w:proofErr w:type="gramStart"/>
      <w:r w:rsidRPr="53CE7795">
        <w:rPr>
          <w:rFonts w:ascii="Times New Roman" w:eastAsia="Times New Roman" w:hAnsi="Times New Roman" w:cs="Times New Roman"/>
          <w:sz w:val="24"/>
          <w:szCs w:val="24"/>
        </w:rPr>
        <w:t>in particular among</w:t>
      </w:r>
      <w:proofErr w:type="gramEnd"/>
      <w:r w:rsidRPr="53CE7795">
        <w:rPr>
          <w:rFonts w:ascii="Times New Roman" w:eastAsia="Times New Roman" w:hAnsi="Times New Roman" w:cs="Times New Roman"/>
          <w:sz w:val="24"/>
          <w:szCs w:val="24"/>
        </w:rPr>
        <w:t xml:space="preserve"> unreached Muslim peoples.</w:t>
      </w:r>
    </w:p>
    <w:p w14:paraId="0000000A" w14:textId="6AADEFF7" w:rsidR="00356CC7" w:rsidRDefault="6B65F250"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sz w:val="24"/>
          <w:szCs w:val="24"/>
        </w:rPr>
      </w:pPr>
      <w:r w:rsidRPr="6B65F250">
        <w:rPr>
          <w:rFonts w:ascii="Times New Roman" w:eastAsia="Times New Roman" w:hAnsi="Times New Roman" w:cs="Times New Roman"/>
          <w:sz w:val="24"/>
          <w:szCs w:val="24"/>
        </w:rPr>
        <w:t>The movements examined in this study represent the major regions of the Muslim world, including West Africa, East Africa, the Arab World, Turkestan, South Asia, and Southeast Asia (also referred to as Indo-Malaysia). Most movements researched took place in Indonesia (18). Other countries with multiple movements included in the study are India (3), Jordan (2), Ethiopia (2), and Bangladesh (2). One church planting movement is underway in each of the following: Burkina Faso, Cote d’Ivoire, Mozambique, Sudan, Pakistan, China, and Myanmar. One movement has grown from Kenya across the borders into Somalia and Tanzania.</w:t>
      </w:r>
    </w:p>
    <w:p w14:paraId="03D616B9" w14:textId="0C9E6760"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b/>
          <w:bCs/>
          <w:color w:val="000000" w:themeColor="text1"/>
          <w:sz w:val="24"/>
          <w:szCs w:val="24"/>
        </w:rPr>
      </w:pPr>
      <w:r w:rsidRPr="53CE7795">
        <w:rPr>
          <w:rFonts w:ascii="Times New Roman" w:eastAsia="Times New Roman" w:hAnsi="Times New Roman" w:cs="Times New Roman"/>
          <w:sz w:val="24"/>
          <w:szCs w:val="24"/>
        </w:rPr>
        <w:t xml:space="preserve">Of the nine regions of the Muslim world that Garrison describes as the different </w:t>
      </w:r>
      <w:r w:rsidRPr="53CE7795">
        <w:rPr>
          <w:rFonts w:ascii="Times New Roman" w:eastAsia="Times New Roman" w:hAnsi="Times New Roman" w:cs="Times New Roman"/>
          <w:i/>
          <w:iCs/>
          <w:sz w:val="24"/>
          <w:szCs w:val="24"/>
        </w:rPr>
        <w:t>Rooms in the House of Islam</w:t>
      </w:r>
      <w:r w:rsidRPr="53CE7795">
        <w:rPr>
          <w:rFonts w:ascii="Times New Roman" w:eastAsia="Times New Roman" w:hAnsi="Times New Roman" w:cs="Times New Roman"/>
          <w:sz w:val="24"/>
          <w:szCs w:val="24"/>
        </w:rPr>
        <w:t xml:space="preserve"> (2014), only North Africa and the Persian world are not represented in this study. (The initial pioneer leaders of the two movements in these regions have passed on and were thus unable to contribute to the research.) The movement among the Kabyle-Berber of Algeria was catalyzed in the 1970s (Marsh 1997; Blanc 2006), and the one among the Persians of Iran in the 1980s (Garrison 2014, 90-94, 130-141).</w:t>
      </w:r>
    </w:p>
    <w:p w14:paraId="0000000E" w14:textId="5C378DA6" w:rsidR="00356CC7" w:rsidRDefault="6B65F250" w:rsidP="6B65F250">
      <w:pPr>
        <w:pBdr>
          <w:top w:val="nil"/>
          <w:left w:val="nil"/>
          <w:bottom w:val="nil"/>
          <w:right w:val="nil"/>
          <w:between w:val="nil"/>
        </w:pBdr>
        <w:spacing w:after="160" w:line="240" w:lineRule="auto"/>
        <w:jc w:val="both"/>
        <w:rPr>
          <w:rFonts w:ascii="Times New Roman" w:eastAsia="Times New Roman" w:hAnsi="Times New Roman" w:cs="Times New Roman"/>
          <w:b/>
          <w:bCs/>
          <w:color w:val="000000"/>
          <w:sz w:val="24"/>
          <w:szCs w:val="24"/>
        </w:rPr>
      </w:pPr>
      <w:r w:rsidRPr="6B65F250">
        <w:rPr>
          <w:rFonts w:ascii="Times New Roman" w:eastAsia="Times New Roman" w:hAnsi="Times New Roman" w:cs="Times New Roman"/>
          <w:b/>
          <w:bCs/>
          <w:color w:val="000000" w:themeColor="text1"/>
          <w:sz w:val="24"/>
          <w:szCs w:val="24"/>
        </w:rPr>
        <w:t>Biblical and Theological Foundations</w:t>
      </w:r>
    </w:p>
    <w:p w14:paraId="00000010" w14:textId="1AFCAF7D" w:rsidR="00356CC7" w:rsidRDefault="53CE7795" w:rsidP="6B65F250">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The research for this study rests on the conviction that three factors influence the emergence or impediment of movements: the sovereignty of God, the receptivity of the gospel’s recipients, and the person (traits) and ministry (competencies) of the pioneer (Packer 1961; 2008; Clark 2006; Snyder 2010).</w:t>
      </w:r>
    </w:p>
    <w:p w14:paraId="00000012" w14:textId="14A75D4F"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The first factor, the sovereignty of God, eludes all human investigation (Luther [1516] 1937; Calvin [1536] 1989; Grudem 1994). This elusiveness reflects the Apostle Paul’s conviction, “How unsearchable are his judgments and how inscrutable his ways!” (Rom. 11:33; all Scripture quotations are from the ESV). This study rests on the theological foundation of God’s sovereignty and human responsibility.</w:t>
      </w:r>
    </w:p>
    <w:p w14:paraId="00000013" w14:textId="73BD8A09" w:rsidR="00356CC7" w:rsidRDefault="53CE7795" w:rsidP="63DCED76">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lastRenderedPageBreak/>
        <w:t>God determines “all things” (Eph. 1:11) according to his perfect, eternal will and plan. At the same time, humans are responsible for their every action, and their decisions are genuine decisions: they have a real impact on the outcome of events (Grudem 1994, 315-337). These convictions mean that the following propositions are equally true (Packer 1961; 2008; Clark 2013):</w:t>
      </w:r>
    </w:p>
    <w:p w14:paraId="00000014" w14:textId="77777777" w:rsidR="00356CC7" w:rsidRDefault="008F3C1E" w:rsidP="63DCED76">
      <w:pPr>
        <w:pBdr>
          <w:top w:val="nil"/>
          <w:left w:val="nil"/>
          <w:bottom w:val="nil"/>
          <w:right w:val="nil"/>
          <w:between w:val="nil"/>
        </w:pBdr>
        <w:spacing w:after="160" w:line="240" w:lineRule="auto"/>
        <w:ind w:left="360" w:right="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 Wherever people come to faith in Christ Jesus, it is ultimately because of God’s sovereign election and predestination. Wherever a movement emerges, God has sovereignly willed for it to happen.</w:t>
      </w:r>
    </w:p>
    <w:p w14:paraId="00000015" w14:textId="77777777" w:rsidR="00356CC7" w:rsidRDefault="008F3C1E" w:rsidP="63DCED76">
      <w:pPr>
        <w:pBdr>
          <w:top w:val="nil"/>
          <w:left w:val="nil"/>
          <w:bottom w:val="nil"/>
          <w:right w:val="nil"/>
          <w:between w:val="nil"/>
        </w:pBdr>
        <w:spacing w:after="160" w:line="240" w:lineRule="auto"/>
        <w:ind w:left="360" w:right="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 Each person who hears the gospel (assuming sufficient maturity and mental faculties) has the capacity to make a genuine decision in rejecting or accepting Jesus Christ, a decision for which they will be held responsible. Wherever the message of Jesus Christ has been adequately proclaimed and people have not received it, they have willfully rejected the gospel.</w:t>
      </w:r>
    </w:p>
    <w:p w14:paraId="00000016" w14:textId="7CAEDD47" w:rsidR="00356CC7" w:rsidRDefault="008F3C1E" w:rsidP="6B65F250">
      <w:pPr>
        <w:pBdr>
          <w:top w:val="nil"/>
          <w:left w:val="nil"/>
          <w:bottom w:val="nil"/>
          <w:right w:val="nil"/>
          <w:between w:val="nil"/>
        </w:pBdr>
        <w:spacing w:after="160" w:line="240" w:lineRule="auto"/>
        <w:ind w:left="360" w:right="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 All pioneers make genuine decisions about how to live their lives and carry out their ministries among the societies where they live and serve. Those decisions can be conducive to or impede the catalyzing of a movement (</w:t>
      </w:r>
      <w:proofErr w:type="spellStart"/>
      <w:r w:rsidRPr="6B65F250">
        <w:rPr>
          <w:rFonts w:ascii="Times New Roman" w:eastAsia="Times New Roman" w:hAnsi="Times New Roman" w:cs="Times New Roman"/>
          <w:color w:val="000000"/>
          <w:sz w:val="24"/>
          <w:szCs w:val="24"/>
        </w:rPr>
        <w:t>Goldmann</w:t>
      </w:r>
      <w:proofErr w:type="spellEnd"/>
      <w:r w:rsidRPr="6B65F250">
        <w:rPr>
          <w:rFonts w:ascii="Times New Roman" w:eastAsia="Times New Roman" w:hAnsi="Times New Roman" w:cs="Times New Roman"/>
          <w:color w:val="000000"/>
          <w:sz w:val="24"/>
          <w:szCs w:val="24"/>
        </w:rPr>
        <w:t xml:space="preserve"> 2006).</w:t>
      </w:r>
    </w:p>
    <w:p w14:paraId="00000018" w14:textId="24C4FAAF"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 xml:space="preserve">The second factor affecting effective catalyzation of a movement is the receptivity of the people among whom the good news is spread. The Bible teaches that the amount of fruit may not lie in the effort of the </w:t>
      </w:r>
      <w:proofErr w:type="spellStart"/>
      <w:r w:rsidRPr="53CE7795">
        <w:rPr>
          <w:rFonts w:ascii="Times New Roman" w:eastAsia="Times New Roman" w:hAnsi="Times New Roman" w:cs="Times New Roman"/>
          <w:color w:val="000000" w:themeColor="text1"/>
          <w:sz w:val="24"/>
          <w:szCs w:val="24"/>
        </w:rPr>
        <w:t>sower</w:t>
      </w:r>
      <w:proofErr w:type="spellEnd"/>
      <w:r w:rsidRPr="53CE7795">
        <w:rPr>
          <w:rFonts w:ascii="Times New Roman" w:eastAsia="Times New Roman" w:hAnsi="Times New Roman" w:cs="Times New Roman"/>
          <w:color w:val="000000" w:themeColor="text1"/>
          <w:sz w:val="24"/>
          <w:szCs w:val="24"/>
        </w:rPr>
        <w:t>, but in the fertility of the soil (see Matt. 13:23). A rough survey of the world today confirms this teaching. Some people groups and regions show great receptivity, and almost every church planting team serving among those groups and regions sees fruit. Examples among Muslim peoples include Albanians and the Kabyle Berbers in North Africa (</w:t>
      </w:r>
      <w:proofErr w:type="spellStart"/>
      <w:r w:rsidRPr="53CE7795">
        <w:rPr>
          <w:rFonts w:ascii="Times New Roman" w:eastAsia="Times New Roman" w:hAnsi="Times New Roman" w:cs="Times New Roman"/>
          <w:color w:val="000000" w:themeColor="text1"/>
          <w:sz w:val="24"/>
          <w:szCs w:val="24"/>
        </w:rPr>
        <w:t>Mandryk</w:t>
      </w:r>
      <w:proofErr w:type="spellEnd"/>
      <w:r w:rsidRPr="53CE7795">
        <w:rPr>
          <w:rFonts w:ascii="Times New Roman" w:eastAsia="Times New Roman" w:hAnsi="Times New Roman" w:cs="Times New Roman"/>
          <w:color w:val="000000" w:themeColor="text1"/>
          <w:sz w:val="24"/>
          <w:szCs w:val="24"/>
        </w:rPr>
        <w:t xml:space="preserve"> 2010, 95, 98; Blanc 2006). Some other people groups seem so unreceptive that church planting teams have seen hardly any fruit at all, for example the Malay and Bruneians (</w:t>
      </w:r>
      <w:proofErr w:type="spellStart"/>
      <w:r w:rsidRPr="53CE7795">
        <w:rPr>
          <w:rFonts w:ascii="Times New Roman" w:eastAsia="Times New Roman" w:hAnsi="Times New Roman" w:cs="Times New Roman"/>
          <w:color w:val="000000" w:themeColor="text1"/>
          <w:sz w:val="24"/>
          <w:szCs w:val="24"/>
        </w:rPr>
        <w:t>Mandryk</w:t>
      </w:r>
      <w:proofErr w:type="spellEnd"/>
      <w:r w:rsidRPr="53CE7795">
        <w:rPr>
          <w:rFonts w:ascii="Times New Roman" w:eastAsia="Times New Roman" w:hAnsi="Times New Roman" w:cs="Times New Roman"/>
          <w:color w:val="000000" w:themeColor="text1"/>
          <w:sz w:val="24"/>
          <w:szCs w:val="24"/>
        </w:rPr>
        <w:t xml:space="preserve"> 2010, 557, 172).</w:t>
      </w:r>
    </w:p>
    <w:p w14:paraId="0000001A" w14:textId="7FF52B67"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 xml:space="preserve">The third factor related to catalyzing a movement is the person of the pioneer. While affirming the above theological factors, the pioneer leader remains a critical factor in </w:t>
      </w:r>
      <w:proofErr w:type="gramStart"/>
      <w:r w:rsidRPr="6B65F250">
        <w:rPr>
          <w:rFonts w:ascii="Times New Roman" w:eastAsia="Times New Roman" w:hAnsi="Times New Roman" w:cs="Times New Roman"/>
          <w:color w:val="000000"/>
          <w:sz w:val="24"/>
          <w:szCs w:val="24"/>
        </w:rPr>
        <w:t>whether or not</w:t>
      </w:r>
      <w:proofErr w:type="gramEnd"/>
      <w:r w:rsidRPr="6B65F250">
        <w:rPr>
          <w:rFonts w:ascii="Times New Roman" w:eastAsia="Times New Roman" w:hAnsi="Times New Roman" w:cs="Times New Roman"/>
          <w:color w:val="000000"/>
          <w:sz w:val="24"/>
          <w:szCs w:val="24"/>
        </w:rPr>
        <w:t xml:space="preserve"> a movement emerges. We teach what we know, but we reproduce </w:t>
      </w:r>
      <w:r w:rsidRPr="6B65F250">
        <w:rPr>
          <w:rFonts w:ascii="Times New Roman" w:eastAsia="Times New Roman" w:hAnsi="Times New Roman" w:cs="Times New Roman"/>
          <w:i/>
          <w:iCs/>
          <w:color w:val="000000"/>
          <w:sz w:val="24"/>
          <w:szCs w:val="24"/>
        </w:rPr>
        <w:t>who we are</w:t>
      </w:r>
      <w:r w:rsidRPr="6B65F250">
        <w:rPr>
          <w:rFonts w:ascii="Times New Roman" w:eastAsia="Times New Roman" w:hAnsi="Times New Roman" w:cs="Times New Roman"/>
          <w:color w:val="000000"/>
          <w:sz w:val="24"/>
          <w:szCs w:val="24"/>
        </w:rPr>
        <w:t xml:space="preserve">. Modeling plays </w:t>
      </w:r>
      <w:proofErr w:type="gramStart"/>
      <w:r w:rsidRPr="6B65F250">
        <w:rPr>
          <w:rFonts w:ascii="Times New Roman" w:eastAsia="Times New Roman" w:hAnsi="Times New Roman" w:cs="Times New Roman"/>
          <w:color w:val="000000"/>
          <w:sz w:val="24"/>
          <w:szCs w:val="24"/>
        </w:rPr>
        <w:t>an absolutely essential</w:t>
      </w:r>
      <w:proofErr w:type="gramEnd"/>
      <w:r w:rsidRPr="6B65F250">
        <w:rPr>
          <w:rFonts w:ascii="Times New Roman" w:eastAsia="Times New Roman" w:hAnsi="Times New Roman" w:cs="Times New Roman"/>
          <w:color w:val="000000"/>
          <w:sz w:val="24"/>
          <w:szCs w:val="24"/>
        </w:rPr>
        <w:t xml:space="preserve"> role in Christian discipleship (2 Tim. 3:10). Thus, the traits of pioneers will influence their effectiveness.</w:t>
      </w:r>
    </w:p>
    <w:p w14:paraId="0000001C" w14:textId="77777777" w:rsidR="00356CC7" w:rsidRDefault="008F3C1E" w:rsidP="63DCED76">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Since God has chosen to use human agents to take the good news of his kingdom to mankind, the person of the disciple maker impacts the results in pioneer church planting. The Apostle Paul’s sequential chain in Romans 10 seems to indicate the critical factor of the pioneering gospel messenger. Romans 10:14-15 outlines the chain that must occur for unreached peoples to come to faith in the gospel:</w:t>
      </w:r>
    </w:p>
    <w:p w14:paraId="0000001D" w14:textId="27D69882" w:rsidR="00356CC7" w:rsidRDefault="008F3C1E" w:rsidP="6B65F250">
      <w:pPr>
        <w:pBdr>
          <w:top w:val="nil"/>
          <w:left w:val="nil"/>
          <w:bottom w:val="nil"/>
          <w:right w:val="nil"/>
          <w:between w:val="nil"/>
        </w:pBdr>
        <w:spacing w:after="0" w:line="240" w:lineRule="auto"/>
        <w:ind w:left="720" w:right="360" w:hanging="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sidRPr="6B65F250">
        <w:rPr>
          <w:rFonts w:ascii="Times New Roman" w:eastAsia="Times New Roman" w:hAnsi="Times New Roman" w:cs="Times New Roman"/>
          <w:color w:val="000000"/>
          <w:sz w:val="24"/>
          <w:szCs w:val="24"/>
        </w:rPr>
        <w:t>God sends (ἀπ</w:t>
      </w:r>
      <w:proofErr w:type="spellStart"/>
      <w:r w:rsidRPr="6B65F250">
        <w:rPr>
          <w:rFonts w:ascii="Times New Roman" w:eastAsia="Times New Roman" w:hAnsi="Times New Roman" w:cs="Times New Roman"/>
          <w:color w:val="000000"/>
          <w:sz w:val="24"/>
          <w:szCs w:val="24"/>
        </w:rPr>
        <w:t>οστ</w:t>
      </w:r>
      <w:proofErr w:type="spellEnd"/>
      <w:r w:rsidRPr="6B65F250">
        <w:rPr>
          <w:rFonts w:ascii="Times New Roman" w:eastAsia="Times New Roman" w:hAnsi="Times New Roman" w:cs="Times New Roman"/>
          <w:color w:val="000000"/>
          <w:sz w:val="24"/>
          <w:szCs w:val="24"/>
        </w:rPr>
        <w:t xml:space="preserve">αλῶσιν - </w:t>
      </w:r>
      <w:proofErr w:type="spellStart"/>
      <w:r w:rsidRPr="6B65F250">
        <w:rPr>
          <w:rFonts w:ascii="Times New Roman" w:eastAsia="Times New Roman" w:hAnsi="Times New Roman" w:cs="Times New Roman"/>
          <w:i/>
          <w:iCs/>
          <w:color w:val="000000"/>
          <w:sz w:val="24"/>
          <w:szCs w:val="24"/>
        </w:rPr>
        <w:t>apostalosin</w:t>
      </w:r>
      <w:proofErr w:type="spellEnd"/>
      <w:r w:rsidRPr="6B65F250">
        <w:rPr>
          <w:rFonts w:ascii="Times New Roman" w:eastAsia="Times New Roman" w:hAnsi="Times New Roman" w:cs="Times New Roman"/>
          <w:color w:val="000000"/>
          <w:sz w:val="24"/>
          <w:szCs w:val="24"/>
        </w:rPr>
        <w:t>) a “sent one” (the meaning of “apostle” or “missionary”).</w:t>
      </w:r>
    </w:p>
    <w:p w14:paraId="0000001E" w14:textId="77777777" w:rsidR="00356CC7" w:rsidRDefault="008F3C1E" w:rsidP="63DCED76">
      <w:pPr>
        <w:pBdr>
          <w:top w:val="nil"/>
          <w:left w:val="nil"/>
          <w:bottom w:val="nil"/>
          <w:right w:val="nil"/>
          <w:between w:val="nil"/>
        </w:pBdr>
        <w:spacing w:after="0" w:line="240" w:lineRule="auto"/>
        <w:ind w:left="720" w:righ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sidRPr="63DCED76">
        <w:rPr>
          <w:rFonts w:ascii="Times New Roman" w:eastAsia="Times New Roman" w:hAnsi="Times New Roman" w:cs="Times New Roman"/>
          <w:color w:val="000000"/>
          <w:sz w:val="24"/>
          <w:szCs w:val="24"/>
        </w:rPr>
        <w:t>The sent one preaches.</w:t>
      </w:r>
    </w:p>
    <w:p w14:paraId="0000001F" w14:textId="77777777" w:rsidR="00356CC7" w:rsidRDefault="008F3C1E" w:rsidP="63DCED76">
      <w:pPr>
        <w:pBdr>
          <w:top w:val="nil"/>
          <w:left w:val="nil"/>
          <w:bottom w:val="nil"/>
          <w:right w:val="nil"/>
          <w:between w:val="nil"/>
        </w:pBdr>
        <w:spacing w:after="0" w:line="240" w:lineRule="auto"/>
        <w:ind w:left="720" w:righ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sidRPr="63DCED76">
        <w:rPr>
          <w:rFonts w:ascii="Times New Roman" w:eastAsia="Times New Roman" w:hAnsi="Times New Roman" w:cs="Times New Roman"/>
          <w:color w:val="000000"/>
          <w:sz w:val="24"/>
          <w:szCs w:val="24"/>
        </w:rPr>
        <w:t>The unbeliever hears.</w:t>
      </w:r>
    </w:p>
    <w:p w14:paraId="00000020" w14:textId="77777777" w:rsidR="00356CC7" w:rsidRDefault="008F3C1E" w:rsidP="63DCED76">
      <w:pPr>
        <w:pBdr>
          <w:top w:val="nil"/>
          <w:left w:val="nil"/>
          <w:bottom w:val="nil"/>
          <w:right w:val="nil"/>
          <w:between w:val="nil"/>
        </w:pBdr>
        <w:spacing w:after="0" w:line="240" w:lineRule="auto"/>
        <w:ind w:left="720" w:righ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sidRPr="63DCED76">
        <w:rPr>
          <w:rFonts w:ascii="Times New Roman" w:eastAsia="Times New Roman" w:hAnsi="Times New Roman" w:cs="Times New Roman"/>
          <w:color w:val="000000"/>
          <w:sz w:val="24"/>
          <w:szCs w:val="24"/>
        </w:rPr>
        <w:t>The unbeliever believes.</w:t>
      </w:r>
    </w:p>
    <w:p w14:paraId="00000021" w14:textId="77777777" w:rsidR="00356CC7" w:rsidRDefault="008F3C1E" w:rsidP="63DCED76">
      <w:pPr>
        <w:pBdr>
          <w:top w:val="nil"/>
          <w:left w:val="nil"/>
          <w:bottom w:val="nil"/>
          <w:right w:val="nil"/>
          <w:between w:val="nil"/>
        </w:pBdr>
        <w:spacing w:after="0" w:line="240" w:lineRule="auto"/>
        <w:ind w:left="720" w:righ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r w:rsidRPr="63DCED76">
        <w:rPr>
          <w:rFonts w:ascii="Times New Roman" w:eastAsia="Times New Roman" w:hAnsi="Times New Roman" w:cs="Times New Roman"/>
          <w:color w:val="000000"/>
          <w:sz w:val="24"/>
          <w:szCs w:val="24"/>
        </w:rPr>
        <w:t>The unbeliever, now a believer, calls on the name of the Lord.</w:t>
      </w:r>
    </w:p>
    <w:p w14:paraId="00000022" w14:textId="77777777" w:rsidR="00356CC7" w:rsidRDefault="008F3C1E" w:rsidP="63DCED76">
      <w:pPr>
        <w:pBdr>
          <w:top w:val="nil"/>
          <w:left w:val="nil"/>
          <w:bottom w:val="nil"/>
          <w:right w:val="nil"/>
          <w:between w:val="nil"/>
        </w:pBdr>
        <w:spacing w:after="160" w:line="240" w:lineRule="auto"/>
        <w:ind w:left="720" w:righ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r w:rsidRPr="63DCED76">
        <w:rPr>
          <w:rFonts w:ascii="Times New Roman" w:eastAsia="Times New Roman" w:hAnsi="Times New Roman" w:cs="Times New Roman"/>
          <w:color w:val="000000"/>
          <w:sz w:val="24"/>
          <w:szCs w:val="24"/>
        </w:rPr>
        <w:t>The believer is saved.</w:t>
      </w:r>
    </w:p>
    <w:p w14:paraId="00000023" w14:textId="057703C7" w:rsidR="00356CC7" w:rsidRDefault="008F3C1E" w:rsidP="6B65F250">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lastRenderedPageBreak/>
        <w:t>This chain of elements can be summarized in the rhetorical question, “How can they call on the Lord without the sent one—the pioneer?” They cannot! The person and ministry of the pioneer is essential.</w:t>
      </w:r>
    </w:p>
    <w:p w14:paraId="00000024" w14:textId="5290DC0A" w:rsidR="00356CC7" w:rsidRDefault="53CE7795" w:rsidP="63DCED76">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 xml:space="preserve">The Apostle Paul, the ultimate model for all pioneers, describes the diligence of his own efforts, stating, “Like a skilled master builder I laid a foundation” (1 Cor. 3:10b). He refers explicitly to his skills; hence, skills do affect the outcome. “The fire will test what sort of work each one has done” (1 Cor. 3:13). A modern church planting team’s ministry will face a similar test. Accordingly, “what sort of work” a pioneer does directly </w:t>
      </w:r>
      <w:proofErr w:type="gramStart"/>
      <w:r w:rsidRPr="53CE7795">
        <w:rPr>
          <w:rFonts w:ascii="Times New Roman" w:eastAsia="Times New Roman" w:hAnsi="Times New Roman" w:cs="Times New Roman"/>
          <w:color w:val="000000" w:themeColor="text1"/>
          <w:sz w:val="24"/>
          <w:szCs w:val="24"/>
        </w:rPr>
        <w:t>affects</w:t>
      </w:r>
      <w:proofErr w:type="gramEnd"/>
      <w:r w:rsidRPr="53CE7795">
        <w:rPr>
          <w:rFonts w:ascii="Times New Roman" w:eastAsia="Times New Roman" w:hAnsi="Times New Roman" w:cs="Times New Roman"/>
          <w:color w:val="000000" w:themeColor="text1"/>
          <w:sz w:val="24"/>
          <w:szCs w:val="24"/>
        </w:rPr>
        <w:t xml:space="preserve"> whether or not that work will produce lasting fruit.</w:t>
      </w:r>
    </w:p>
    <w:p w14:paraId="00000025" w14:textId="282ED377"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 xml:space="preserve">The Apostle Paul succinctly formulates the confluence of the divine and the human factors, and summarizes the theological foundation of this study, when referring to those who build God’s church as “God’s fellow workers” (1 Cor. 3:9). The Greek word used for fellow workers (sometimes translated “coworkers”) is </w:t>
      </w:r>
      <w:proofErr w:type="spellStart"/>
      <w:r w:rsidRPr="53CE7795">
        <w:rPr>
          <w:rFonts w:ascii="Times New Roman" w:eastAsia="Times New Roman" w:hAnsi="Times New Roman" w:cs="Times New Roman"/>
          <w:color w:val="000000" w:themeColor="text1"/>
          <w:sz w:val="24"/>
          <w:szCs w:val="24"/>
        </w:rPr>
        <w:t>συνεργοί</w:t>
      </w:r>
      <w:proofErr w:type="spellEnd"/>
      <w:r w:rsidRPr="53CE7795">
        <w:rPr>
          <w:rFonts w:ascii="Times New Roman" w:eastAsia="Times New Roman" w:hAnsi="Times New Roman" w:cs="Times New Roman"/>
          <w:color w:val="000000" w:themeColor="text1"/>
          <w:sz w:val="24"/>
          <w:szCs w:val="24"/>
        </w:rPr>
        <w:t xml:space="preserve">, the source of the English word “synergy.” This study’s research builds on David Garrison’s assertion that effectively catalyzing a </w:t>
      </w:r>
      <w:proofErr w:type="gramStart"/>
      <w:r w:rsidRPr="53CE7795">
        <w:rPr>
          <w:rFonts w:ascii="Times New Roman" w:eastAsia="Times New Roman" w:hAnsi="Times New Roman" w:cs="Times New Roman"/>
          <w:color w:val="000000" w:themeColor="text1"/>
          <w:sz w:val="24"/>
          <w:szCs w:val="24"/>
        </w:rPr>
        <w:t>movement results</w:t>
      </w:r>
      <w:proofErr w:type="gramEnd"/>
      <w:r w:rsidRPr="53CE7795">
        <w:rPr>
          <w:rFonts w:ascii="Times New Roman" w:eastAsia="Times New Roman" w:hAnsi="Times New Roman" w:cs="Times New Roman"/>
          <w:color w:val="000000" w:themeColor="text1"/>
          <w:sz w:val="24"/>
          <w:szCs w:val="24"/>
        </w:rPr>
        <w:t xml:space="preserve"> from the synergy of the human element with the divine, “a divine-human cooperative” (Garrison 2014, 255). Consequently, this research particularly focuses on the person of the pioneer.</w:t>
      </w:r>
    </w:p>
    <w:p w14:paraId="00000026" w14:textId="77777777" w:rsidR="00356CC7" w:rsidRDefault="63DCED76" w:rsidP="63DCED76">
      <w:pPr>
        <w:pStyle w:val="Heading1"/>
        <w:spacing w:before="0" w:after="160" w:line="240" w:lineRule="auto"/>
        <w:jc w:val="both"/>
        <w:rPr>
          <w:rFonts w:ascii="Times New Roman" w:eastAsia="Times New Roman" w:hAnsi="Times New Roman" w:cs="Times New Roman"/>
          <w:b/>
          <w:bCs/>
          <w:color w:val="000000"/>
          <w:sz w:val="24"/>
          <w:szCs w:val="24"/>
        </w:rPr>
      </w:pPr>
      <w:r w:rsidRPr="63DCED76">
        <w:rPr>
          <w:rFonts w:ascii="Times New Roman" w:eastAsia="Times New Roman" w:hAnsi="Times New Roman" w:cs="Times New Roman"/>
          <w:b/>
          <w:bCs/>
          <w:color w:val="000000" w:themeColor="text1"/>
          <w:sz w:val="24"/>
          <w:szCs w:val="24"/>
        </w:rPr>
        <w:t>Must a Movement Build on Lengthy Previous Gospel Proclamation?</w:t>
      </w:r>
    </w:p>
    <w:p w14:paraId="00000028" w14:textId="6CBCC81F" w:rsidR="00356CC7" w:rsidRDefault="53CE7795" w:rsidP="6B65F250">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 xml:space="preserve">Many have thought that movements can only be catalyzed among people groups who have had many years of previous Christian work sharing the gospel (Livingstone 1993, 18). Some would express this assumption more moderately: movements seem highly unlikely to occur in pioneer situations. The biblical principle referenced is, “whoever sows sparingly will also reap sparingly, and whoever sows bountifully will also reap bountifully” (2 Cor. 9:6). The oft-cited prime examples are the movement among the Kabyle-Berber in Algeria and the mid-to-late 1960’s mass movement to Christ in Indonesia. The movement among the Kabyle-Berber occurred in the 1970s after several generations of Christian witness with hardly any response at all, starting with the pioneer Charles Marsh nearly 50 years earlier in 1925 (Marsh 1970; Marsh and </w:t>
      </w:r>
      <w:proofErr w:type="spellStart"/>
      <w:r w:rsidRPr="53CE7795">
        <w:rPr>
          <w:rFonts w:ascii="Times New Roman" w:eastAsia="Times New Roman" w:hAnsi="Times New Roman" w:cs="Times New Roman"/>
          <w:color w:val="000000" w:themeColor="text1"/>
          <w:sz w:val="24"/>
          <w:szCs w:val="24"/>
        </w:rPr>
        <w:t>Verwer</w:t>
      </w:r>
      <w:proofErr w:type="spellEnd"/>
      <w:r w:rsidRPr="53CE7795">
        <w:rPr>
          <w:rFonts w:ascii="Times New Roman" w:eastAsia="Times New Roman" w:hAnsi="Times New Roman" w:cs="Times New Roman"/>
          <w:color w:val="000000" w:themeColor="text1"/>
          <w:sz w:val="24"/>
          <w:szCs w:val="24"/>
        </w:rPr>
        <w:t xml:space="preserve"> 1997). In Indonesia between 1965 and 1971 two million Muslims turned to Christ (Willis 1977), but only after more than three centuries of Christian missionary work in the country.</w:t>
      </w:r>
    </w:p>
    <w:p w14:paraId="0000002A" w14:textId="7DDB9473"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The data informing this study indicate that this notion should be reconsidered. Movement breakthrough does not necessarily require a long period of sowing. At the time of their participation in this study, the pioneer leaders and their teams had been ministering between two and 24 years since taking up residence among the people groups in which they were serving. One participant had an itinerant non-residential ministry approach, in which he did not live among his people group. Of those participants living among their focus people groups, the average length of ministry was 8.4 years.</w:t>
      </w:r>
    </w:p>
    <w:p w14:paraId="0000002B" w14:textId="5675A9E9"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 xml:space="preserve">The length of ministry among the people group before the first fellowship of Jesus followers started a daughter fellowship ranges from three months to 15 years. The birthing of the first second-generation fellowship is considered the tipping point, where reproduction begins happening and a movement is catalyzed. Six church planting movements took between only three and six months of ministry for that to occur. Sixteen movements took between one and three years to be catalyzed. Four movements took between four and eight years. In only two movements did that process take place between 11 and 15 years. Three survey participants were not able to </w:t>
      </w:r>
      <w:proofErr w:type="gramStart"/>
      <w:r w:rsidRPr="6B65F250">
        <w:rPr>
          <w:rFonts w:ascii="Times New Roman" w:eastAsia="Times New Roman" w:hAnsi="Times New Roman" w:cs="Times New Roman"/>
          <w:color w:val="000000"/>
          <w:sz w:val="24"/>
          <w:szCs w:val="24"/>
        </w:rPr>
        <w:t xml:space="preserve">answer </w:t>
      </w:r>
      <w:r w:rsidR="63DCED76" w:rsidRPr="6B65F250">
        <w:rPr>
          <w:rFonts w:ascii="Times New Roman" w:eastAsia="Times New Roman" w:hAnsi="Times New Roman" w:cs="Times New Roman"/>
          <w:color w:val="000000" w:themeColor="text1"/>
          <w:sz w:val="24"/>
          <w:szCs w:val="24"/>
        </w:rPr>
        <w:t>precisely</w:t>
      </w:r>
      <w:proofErr w:type="gramEnd"/>
      <w:r w:rsidRPr="6B65F250">
        <w:rPr>
          <w:rFonts w:ascii="Times New Roman" w:eastAsia="Times New Roman" w:hAnsi="Times New Roman" w:cs="Times New Roman"/>
          <w:color w:val="000000"/>
          <w:sz w:val="24"/>
          <w:szCs w:val="24"/>
        </w:rPr>
        <w:t xml:space="preserve"> the question about when the movement was catalyzed</w:t>
      </w:r>
      <w:r w:rsidR="63DCED76" w:rsidRPr="6B65F250">
        <w:rPr>
          <w:rFonts w:ascii="Times New Roman" w:eastAsia="Times New Roman" w:hAnsi="Times New Roman" w:cs="Times New Roman"/>
          <w:color w:val="000000" w:themeColor="text1"/>
          <w:sz w:val="24"/>
          <w:szCs w:val="24"/>
        </w:rPr>
        <w:t xml:space="preserve">. The average time between the pioneer leader </w:t>
      </w:r>
      <w:r w:rsidR="63DCED76" w:rsidRPr="6B65F250">
        <w:rPr>
          <w:rFonts w:ascii="Times New Roman" w:eastAsia="Times New Roman" w:hAnsi="Times New Roman" w:cs="Times New Roman"/>
          <w:color w:val="000000" w:themeColor="text1"/>
          <w:sz w:val="24"/>
          <w:szCs w:val="24"/>
        </w:rPr>
        <w:lastRenderedPageBreak/>
        <w:t>arriving on the ground and the birthing of the first second-generation fellowship was only two years and seven months.</w:t>
      </w:r>
    </w:p>
    <w:p w14:paraId="0000002C" w14:textId="20BDB4C4" w:rsidR="00356CC7" w:rsidRDefault="008F3C1E" w:rsidP="63DCED76">
      <w:pPr>
        <w:pBdr>
          <w:top w:val="nil"/>
          <w:left w:val="nil"/>
          <w:bottom w:val="nil"/>
          <w:right w:val="nil"/>
          <w:between w:val="nil"/>
        </w:pBdr>
        <w:spacing w:after="180" w:line="240" w:lineRule="auto"/>
        <w:jc w:val="center"/>
        <w:rPr>
          <w:rFonts w:ascii="Times New Roman" w:eastAsia="Times New Roman" w:hAnsi="Times New Roman" w:cs="Times New Roman"/>
          <w:color w:val="000000"/>
          <w:sz w:val="24"/>
          <w:szCs w:val="24"/>
        </w:rPr>
      </w:pPr>
      <w:r>
        <w:rPr>
          <w:noProof/>
        </w:rPr>
        <w:drawing>
          <wp:inline distT="0" distB="0" distL="0" distR="0" wp14:anchorId="10F277AD" wp14:editId="6A432C43">
            <wp:extent cx="4389120" cy="2194560"/>
            <wp:effectExtent l="0" t="0" r="0" b="0"/>
            <wp:docPr id="1"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7">
                      <a:extLst>
                        <a:ext uri="{28A0092B-C50C-407E-A947-70E740481C1C}">
                          <a14:useLocalDpi xmlns:a14="http://schemas.microsoft.com/office/drawing/2010/main" val="0"/>
                        </a:ext>
                      </a:extLst>
                    </a:blip>
                    <a:srcRect/>
                    <a:stretch>
                      <a:fillRect/>
                    </a:stretch>
                  </pic:blipFill>
                  <pic:spPr>
                    <a:xfrm>
                      <a:off x="0" y="0"/>
                      <a:ext cx="4389120" cy="2194560"/>
                    </a:xfrm>
                    <a:prstGeom prst="rect">
                      <a:avLst/>
                    </a:prstGeom>
                    <a:ln/>
                  </pic:spPr>
                </pic:pic>
              </a:graphicData>
            </a:graphic>
          </wp:inline>
        </w:drawing>
      </w:r>
    </w:p>
    <w:p w14:paraId="44D7D648" w14:textId="0D0DA5A8" w:rsidR="63DCED76" w:rsidRDefault="63DCED76" w:rsidP="63DCED76">
      <w:pPr>
        <w:spacing w:after="160" w:line="240" w:lineRule="auto"/>
        <w:jc w:val="center"/>
        <w:rPr>
          <w:rFonts w:ascii="Times New Roman" w:eastAsia="Times New Roman" w:hAnsi="Times New Roman" w:cs="Times New Roman"/>
          <w:color w:val="000000" w:themeColor="text1"/>
          <w:sz w:val="24"/>
          <w:szCs w:val="24"/>
        </w:rPr>
      </w:pPr>
      <w:r w:rsidRPr="63DCED76">
        <w:rPr>
          <w:rFonts w:ascii="Times New Roman" w:eastAsia="Times New Roman" w:hAnsi="Times New Roman" w:cs="Times New Roman"/>
          <w:color w:val="000000" w:themeColor="text1"/>
          <w:sz w:val="20"/>
          <w:szCs w:val="20"/>
        </w:rPr>
        <w:t>Figure 1: Time of Pioneer’s Ministry Prior to Movement Breakthrough</w:t>
      </w:r>
    </w:p>
    <w:p w14:paraId="0000002E" w14:textId="6AFF764C"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A related consideration is the number of years of any known gospel proclamation prior to the ministry of the pioneer leader and his or her team. This period ranged from zero to 100 years. Five participants answered zero: there had been no gospel proclamation at all prior to their arrival among the people group. For one movement it had been one year. For two movements it was four to eight years. The largest portion of participants, representing ten movements, answered between ten and “20+” years. Four movements had been preceded by 40 to 50 years of gospel proclamation, and in one movement it had been 100 years. Eight participants could not answer the question precisely, one describing it simply as “many” years. The median among those who answered the question was 15 years.</w:t>
      </w:r>
    </w:p>
    <w:p w14:paraId="2F8CB186" w14:textId="566DC98A" w:rsidR="00356CC7" w:rsidRDefault="008F3C1E" w:rsidP="63DCED76">
      <w:pPr>
        <w:pBdr>
          <w:top w:val="nil"/>
          <w:left w:val="nil"/>
          <w:bottom w:val="nil"/>
          <w:right w:val="nil"/>
          <w:between w:val="nil"/>
        </w:pBdr>
        <w:spacing w:after="160" w:line="240" w:lineRule="auto"/>
        <w:jc w:val="center"/>
      </w:pPr>
      <w:r>
        <w:rPr>
          <w:noProof/>
        </w:rPr>
        <w:drawing>
          <wp:inline distT="0" distB="0" distL="0" distR="0" wp14:anchorId="0A43807F" wp14:editId="29DC3CB8">
            <wp:extent cx="4543425" cy="2324100"/>
            <wp:effectExtent l="0" t="0" r="0" b="0"/>
            <wp:docPr id="786561857" name="Picture 78656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543425" cy="2324100"/>
                    </a:xfrm>
                    <a:prstGeom prst="rect">
                      <a:avLst/>
                    </a:prstGeom>
                  </pic:spPr>
                </pic:pic>
              </a:graphicData>
            </a:graphic>
          </wp:inline>
        </w:drawing>
      </w:r>
    </w:p>
    <w:p w14:paraId="00000030" w14:textId="78B7F30D" w:rsidR="00356CC7" w:rsidRDefault="6B65F250" w:rsidP="6B65F250">
      <w:pPr>
        <w:pBdr>
          <w:top w:val="nil"/>
          <w:left w:val="nil"/>
          <w:bottom w:val="nil"/>
          <w:right w:val="nil"/>
          <w:between w:val="nil"/>
        </w:pBdr>
        <w:spacing w:after="160" w:line="240" w:lineRule="auto"/>
        <w:jc w:val="center"/>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themeColor="text1"/>
          <w:sz w:val="20"/>
          <w:szCs w:val="20"/>
        </w:rPr>
        <w:t>Figure 2: Year of Witness Prior to Arrival of Pioneer</w:t>
      </w:r>
    </w:p>
    <w:p w14:paraId="00000032" w14:textId="7B248127" w:rsidR="00356CC7" w:rsidRDefault="72B69E13"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72B69E13">
        <w:rPr>
          <w:rFonts w:ascii="Times New Roman" w:eastAsia="Times New Roman" w:hAnsi="Times New Roman" w:cs="Times New Roman"/>
          <w:color w:val="000000" w:themeColor="text1"/>
          <w:sz w:val="24"/>
          <w:szCs w:val="24"/>
        </w:rPr>
        <w:t xml:space="preserve">This data </w:t>
      </w:r>
      <w:proofErr w:type="gramStart"/>
      <w:r w:rsidRPr="72B69E13">
        <w:rPr>
          <w:rFonts w:ascii="Times New Roman" w:eastAsia="Times New Roman" w:hAnsi="Times New Roman" w:cs="Times New Roman"/>
          <w:color w:val="000000" w:themeColor="text1"/>
          <w:sz w:val="24"/>
          <w:szCs w:val="24"/>
        </w:rPr>
        <w:t>are</w:t>
      </w:r>
      <w:proofErr w:type="gramEnd"/>
      <w:r w:rsidRPr="72B69E13">
        <w:rPr>
          <w:rFonts w:ascii="Times New Roman" w:eastAsia="Times New Roman" w:hAnsi="Times New Roman" w:cs="Times New Roman"/>
          <w:color w:val="000000" w:themeColor="text1"/>
          <w:sz w:val="24"/>
          <w:szCs w:val="24"/>
        </w:rPr>
        <w:t xml:space="preserve"> surprising in light of commonly held assumptions. It has been widely held that movements can only be catalyzed among people groups where there have been many years of previous Christian work sharing the gospel. The above figures of this study indicate that such a notion needs to be reconsidered. Some movements had been preceded by up to 100 years of gospel </w:t>
      </w:r>
      <w:r w:rsidRPr="72B69E13">
        <w:rPr>
          <w:rFonts w:ascii="Times New Roman" w:eastAsia="Times New Roman" w:hAnsi="Times New Roman" w:cs="Times New Roman"/>
          <w:color w:val="000000" w:themeColor="text1"/>
          <w:sz w:val="24"/>
          <w:szCs w:val="24"/>
        </w:rPr>
        <w:lastRenderedPageBreak/>
        <w:t>sowing, but others by only a few years</w:t>
      </w:r>
      <w:r w:rsidRPr="72B69E13">
        <w:rPr>
          <w:rFonts w:ascii="Times New Roman" w:eastAsia="Times New Roman" w:hAnsi="Times New Roman" w:cs="Times New Roman"/>
          <w:color w:val="202124"/>
          <w:sz w:val="24"/>
          <w:szCs w:val="24"/>
        </w:rPr>
        <w:t xml:space="preserve">—and </w:t>
      </w:r>
      <w:r w:rsidRPr="72B69E13">
        <w:rPr>
          <w:rFonts w:ascii="Times New Roman" w:eastAsia="Times New Roman" w:hAnsi="Times New Roman" w:cs="Times New Roman"/>
          <w:color w:val="000000" w:themeColor="text1"/>
          <w:sz w:val="24"/>
          <w:szCs w:val="24"/>
        </w:rPr>
        <w:t>others had had no previous sowing at all! These numerous examples show that only a small proportion of the movements among Muslims have built on a significant history of Christian work. Many of the movements have occurred without building on any foundation of previous work. They have been catalyzed by the very first pioneer among the people group.</w:t>
      </w:r>
    </w:p>
    <w:p w14:paraId="1B057BC6" w14:textId="220E7196"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themeColor="text1"/>
          <w:sz w:val="24"/>
          <w:szCs w:val="24"/>
        </w:rPr>
      </w:pPr>
      <w:r w:rsidRPr="6B65F250">
        <w:rPr>
          <w:rFonts w:ascii="Times New Roman" w:eastAsia="Times New Roman" w:hAnsi="Times New Roman" w:cs="Times New Roman"/>
          <w:color w:val="000000"/>
          <w:sz w:val="24"/>
          <w:szCs w:val="24"/>
        </w:rPr>
        <w:t xml:space="preserve">This finding is new in the sense of being a first-time verification by specific data. However, the hypothesis had already been formulated in 2008 by an expert panel of church-planting movement (CPM) trainers from multiple regions globally. They concluded: </w:t>
      </w:r>
      <w:r w:rsidRPr="6B65F250">
        <w:rPr>
          <w:rFonts w:ascii="Times New Roman" w:eastAsia="Times New Roman" w:hAnsi="Times New Roman" w:cs="Times New Roman"/>
          <w:sz w:val="24"/>
          <w:szCs w:val="24"/>
        </w:rPr>
        <w:t xml:space="preserve">“there seemed to be no difference in the … CPMs in terms of how long there </w:t>
      </w:r>
      <w:proofErr w:type="gramStart"/>
      <w:r w:rsidRPr="6B65F250">
        <w:rPr>
          <w:rFonts w:ascii="Times New Roman" w:eastAsia="Times New Roman" w:hAnsi="Times New Roman" w:cs="Times New Roman"/>
          <w:sz w:val="24"/>
          <w:szCs w:val="24"/>
        </w:rPr>
        <w:t>had been gospel exposure in the area previously</w:t>
      </w:r>
      <w:proofErr w:type="gramEnd"/>
      <w:r w:rsidRPr="6B65F250">
        <w:rPr>
          <w:rFonts w:ascii="Times New Roman" w:eastAsia="Times New Roman" w:hAnsi="Times New Roman" w:cs="Times New Roman"/>
          <w:sz w:val="24"/>
          <w:szCs w:val="24"/>
        </w:rPr>
        <w:t>. For example, in both large and small CPMs, there were examples of longer and shorter histories of Christian work” (Stevens 2008, 3).</w:t>
      </w:r>
    </w:p>
    <w:p w14:paraId="00000035" w14:textId="57C96244"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The data of this present study substantiate the earlier observations of those CPM trainers. Prior gospel witness seems to play little or no role in the likelihood of a movement being launched among a Muslim people group. This data-based conclusion debunks the heretofore common assumption that lengthy prior gospel proclamation must precede a movement being catalyzed.</w:t>
      </w:r>
    </w:p>
    <w:p w14:paraId="00000036" w14:textId="77777777" w:rsidR="00356CC7" w:rsidRDefault="63DCED76" w:rsidP="63DCED76">
      <w:pPr>
        <w:pStyle w:val="Heading1"/>
        <w:spacing w:before="0" w:after="160" w:line="240" w:lineRule="auto"/>
        <w:jc w:val="both"/>
        <w:rPr>
          <w:rFonts w:ascii="Times New Roman" w:eastAsia="Times New Roman" w:hAnsi="Times New Roman" w:cs="Times New Roman"/>
          <w:b/>
          <w:bCs/>
          <w:color w:val="000000"/>
          <w:sz w:val="24"/>
          <w:szCs w:val="24"/>
        </w:rPr>
      </w:pPr>
      <w:bookmarkStart w:id="3" w:name="_tyjcwt"/>
      <w:bookmarkEnd w:id="3"/>
      <w:r w:rsidRPr="63DCED76">
        <w:rPr>
          <w:rFonts w:ascii="Times New Roman" w:eastAsia="Times New Roman" w:hAnsi="Times New Roman" w:cs="Times New Roman"/>
          <w:b/>
          <w:bCs/>
          <w:color w:val="000000" w:themeColor="text1"/>
          <w:sz w:val="24"/>
          <w:szCs w:val="24"/>
        </w:rPr>
        <w:t>Do Movements Occur Only among Receptive People Groups?</w:t>
      </w:r>
    </w:p>
    <w:p w14:paraId="00000037" w14:textId="652E95A5" w:rsidR="00356CC7" w:rsidRDefault="53CE7795" w:rsidP="6B65F250">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t>Concerning the second assumption, the supporting research data suggest no association between a people group’s gospel receptivity and the effective catalyzing of a movement among them. Movements are apparently unrelated to the overall receptivity of the people group.</w:t>
      </w:r>
    </w:p>
    <w:p w14:paraId="726049D8" w14:textId="5110068E"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themeColor="text1"/>
          <w:sz w:val="24"/>
          <w:szCs w:val="24"/>
        </w:rPr>
      </w:pPr>
      <w:r w:rsidRPr="53CE7795">
        <w:rPr>
          <w:rFonts w:ascii="Times New Roman" w:eastAsia="Times New Roman" w:hAnsi="Times New Roman" w:cs="Times New Roman"/>
          <w:color w:val="000000" w:themeColor="text1"/>
          <w:sz w:val="24"/>
          <w:szCs w:val="24"/>
        </w:rPr>
        <w:t xml:space="preserve">The receptivity of this research’s people groups toward the good news varied significantly at the time when the pioneer leaders first took residence among them. Participants used the </w:t>
      </w:r>
      <w:r w:rsidRPr="53CE7795">
        <w:rPr>
          <w:rFonts w:ascii="Times New Roman" w:eastAsia="Times New Roman" w:hAnsi="Times New Roman" w:cs="Times New Roman"/>
          <w:i/>
          <w:iCs/>
          <w:color w:val="000000" w:themeColor="text1"/>
          <w:sz w:val="24"/>
          <w:szCs w:val="24"/>
        </w:rPr>
        <w:t>Dayton Scale</w:t>
      </w:r>
      <w:r w:rsidRPr="53CE7795">
        <w:rPr>
          <w:rFonts w:ascii="Times New Roman" w:eastAsia="Times New Roman" w:hAnsi="Times New Roman" w:cs="Times New Roman"/>
          <w:color w:val="000000" w:themeColor="text1"/>
          <w:sz w:val="24"/>
          <w:szCs w:val="24"/>
        </w:rPr>
        <w:t xml:space="preserve"> (Dayton and Fraser 2003), which ranges from -5 (strongly opposed) to +5 (strongly favorable) to measure the receptivity of societies and people groups toward the gospel. Among the people groups surveyed in this study, seven were assessed to have been strongly opposed (-5 and -4) to the gospel at the time when the pioneer leader first took up residence among the group. In 11 people groups, receptivity was assessed as somewhat opposed (-3 and -2). Two people groups were described as indifferent to the gospel (rated -1 to +1), while five were assessed as somewhat favorable to the gospel (+2 and +3). Only five out of 35 people groups were considered strongly favorable to the gospel when the pioneer leaders began their work among them. The following chart shows the nearly even distribution.</w:t>
      </w:r>
    </w:p>
    <w:p w14:paraId="29E20E04" w14:textId="5BBFE8D8" w:rsidR="00356CC7" w:rsidRDefault="008F3C1E" w:rsidP="63DCED76">
      <w:pPr>
        <w:pBdr>
          <w:top w:val="nil"/>
          <w:left w:val="nil"/>
          <w:bottom w:val="nil"/>
          <w:right w:val="nil"/>
          <w:between w:val="nil"/>
        </w:pBdr>
        <w:spacing w:after="160" w:line="240" w:lineRule="auto"/>
        <w:jc w:val="center"/>
      </w:pPr>
      <w:r>
        <w:rPr>
          <w:noProof/>
        </w:rPr>
        <w:lastRenderedPageBreak/>
        <w:drawing>
          <wp:inline distT="0" distB="0" distL="0" distR="0" wp14:anchorId="509DD9AF" wp14:editId="6983789C">
            <wp:extent cx="5229225" cy="2847975"/>
            <wp:effectExtent l="0" t="0" r="0" b="0"/>
            <wp:docPr id="1055345845" name="Picture 1055345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229225" cy="2847975"/>
                    </a:xfrm>
                    <a:prstGeom prst="rect">
                      <a:avLst/>
                    </a:prstGeom>
                  </pic:spPr>
                </pic:pic>
              </a:graphicData>
            </a:graphic>
          </wp:inline>
        </w:drawing>
      </w:r>
    </w:p>
    <w:p w14:paraId="0000003B" w14:textId="60683DE3" w:rsidR="00356CC7" w:rsidRDefault="63DCED76" w:rsidP="6B65F250">
      <w:pPr>
        <w:pBdr>
          <w:top w:val="nil"/>
          <w:left w:val="nil"/>
          <w:bottom w:val="nil"/>
          <w:right w:val="nil"/>
          <w:between w:val="nil"/>
        </w:pBdr>
        <w:spacing w:after="160" w:line="240" w:lineRule="auto"/>
        <w:jc w:val="center"/>
        <w:rPr>
          <w:rFonts w:ascii="Times New Roman" w:eastAsia="Times New Roman" w:hAnsi="Times New Roman" w:cs="Times New Roman"/>
          <w:color w:val="000000"/>
          <w:sz w:val="20"/>
          <w:szCs w:val="20"/>
        </w:rPr>
      </w:pPr>
      <w:r w:rsidRPr="6B65F250">
        <w:rPr>
          <w:rFonts w:ascii="Times New Roman" w:eastAsia="Times New Roman" w:hAnsi="Times New Roman" w:cs="Times New Roman"/>
          <w:color w:val="000000" w:themeColor="text1"/>
          <w:sz w:val="20"/>
          <w:szCs w:val="20"/>
        </w:rPr>
        <w:t>Figure 3: Receptivity of People Groups Toward the Gospel</w:t>
      </w:r>
    </w:p>
    <w:p w14:paraId="0000003D" w14:textId="6700CDD1" w:rsidR="00356CC7" w:rsidRDefault="72B69E13" w:rsidP="63DCED76">
      <w:pPr>
        <w:keepNext/>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72B69E13">
        <w:rPr>
          <w:rFonts w:ascii="Times New Roman" w:eastAsia="Times New Roman" w:hAnsi="Times New Roman" w:cs="Times New Roman"/>
          <w:color w:val="000000" w:themeColor="text1"/>
          <w:sz w:val="24"/>
          <w:szCs w:val="24"/>
        </w:rPr>
        <w:t>The data show no correlation between gospel receptivity of a people group and the effective catalyzing of a movement among them. Movements seem unrelated to the overall receptivity of the people group. How can we explain this counter-intuitive reality?</w:t>
      </w:r>
    </w:p>
    <w:p w14:paraId="0000003E" w14:textId="11EE1CBB" w:rsidR="00356CC7" w:rsidRDefault="008F3C1E"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6B65F250">
        <w:rPr>
          <w:rFonts w:ascii="Times New Roman" w:eastAsia="Times New Roman" w:hAnsi="Times New Roman" w:cs="Times New Roman"/>
          <w:color w:val="000000"/>
          <w:sz w:val="24"/>
          <w:szCs w:val="24"/>
        </w:rPr>
        <w:t xml:space="preserve">Perhaps receptive pockets exist within most or all societies, including those having a low level of overall receptivity. Steve Smith’s research into church planting movements affirms this conclusion: “There may be hardened people groups, but in </w:t>
      </w:r>
      <w:proofErr w:type="gramStart"/>
      <w:r w:rsidRPr="6B65F250">
        <w:rPr>
          <w:rFonts w:ascii="Times New Roman" w:eastAsia="Times New Roman" w:hAnsi="Times New Roman" w:cs="Times New Roman"/>
          <w:color w:val="000000"/>
          <w:sz w:val="24"/>
          <w:szCs w:val="24"/>
        </w:rPr>
        <w:t>every one</w:t>
      </w:r>
      <w:proofErr w:type="gramEnd"/>
      <w:r w:rsidRPr="6B65F250">
        <w:rPr>
          <w:rFonts w:ascii="Times New Roman" w:eastAsia="Times New Roman" w:hAnsi="Times New Roman" w:cs="Times New Roman"/>
          <w:color w:val="000000"/>
          <w:sz w:val="24"/>
          <w:szCs w:val="24"/>
        </w:rPr>
        <w:t xml:space="preserve"> there are harvestable individuals” (Smith 2011, 83). Trousdale’s research comes to a similar conclusion, pressing further to note that often “the hardest people yield the greatest results” (Trousdale 2012, 155). This observation in many movements does not refer to gospel receptivity among entire people groups but to individuals and subgroups in society. The key open individuals are often referred to as “persons of peace,” based on Jesus’ instructions in Matthew 10 and Luke 10 (Trousdale 2012, 190; Watson and Watson 2014, 123-139). Trousdale also observes the principle that “sometimes the most difficult person to reach with the gospel will become the most dedicated follower of Christ” (Trousdale 2012, 161).</w:t>
      </w:r>
    </w:p>
    <w:p w14:paraId="0000003F" w14:textId="77777777" w:rsidR="00356CC7" w:rsidRDefault="63DCED76" w:rsidP="63DCED76">
      <w:pPr>
        <w:pStyle w:val="Heading1"/>
        <w:spacing w:before="0" w:after="160" w:line="240" w:lineRule="auto"/>
        <w:jc w:val="both"/>
        <w:rPr>
          <w:rFonts w:ascii="Times New Roman" w:eastAsia="Times New Roman" w:hAnsi="Times New Roman" w:cs="Times New Roman"/>
          <w:b/>
          <w:bCs/>
          <w:color w:val="000000"/>
          <w:sz w:val="24"/>
          <w:szCs w:val="24"/>
        </w:rPr>
      </w:pPr>
      <w:r w:rsidRPr="63DCED76">
        <w:rPr>
          <w:rFonts w:ascii="Times New Roman" w:eastAsia="Times New Roman" w:hAnsi="Times New Roman" w:cs="Times New Roman"/>
          <w:b/>
          <w:bCs/>
          <w:color w:val="000000" w:themeColor="text1"/>
          <w:sz w:val="24"/>
          <w:szCs w:val="24"/>
        </w:rPr>
        <w:t>Conclusion</w:t>
      </w:r>
    </w:p>
    <w:p w14:paraId="00000040" w14:textId="3C12C2EC" w:rsidR="00356CC7" w:rsidRDefault="008F3C1E" w:rsidP="63DCED76">
      <w:pPr>
        <w:pBdr>
          <w:top w:val="nil"/>
          <w:left w:val="nil"/>
          <w:bottom w:val="nil"/>
          <w:right w:val="nil"/>
          <w:between w:val="nil"/>
        </w:pBdr>
        <w:spacing w:after="160" w:line="240" w:lineRule="auto"/>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Any movement results from three factors: the sovereignty of God (which eludes human analysis and understanding), the receptivity of those who hear the gospel, and the pioneer who is responsible to share the gospel wisely. As the Apostle Paul experienced in the city of Corinth, some situations may manifest significant opposition to the gospel (Acts 18:6), yet the perspective of God’s eternal election reveals “many in this city who are my [God’s] people” (Acts 18:10).</w:t>
      </w:r>
    </w:p>
    <w:p w14:paraId="00000041" w14:textId="1C6AF1EA" w:rsidR="00356CC7" w:rsidRDefault="50740BA8" w:rsidP="63DCED76">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0740BA8">
        <w:rPr>
          <w:rFonts w:ascii="Times New Roman" w:eastAsia="Times New Roman" w:hAnsi="Times New Roman" w:cs="Times New Roman"/>
          <w:color w:val="000000" w:themeColor="text1"/>
          <w:sz w:val="24"/>
          <w:szCs w:val="24"/>
        </w:rPr>
        <w:t>The data of the research demonstrate that movements may happen irrespective of the receptivity of the overall population. This underscores the role of the pioneer, adding weight to the part he or she plays in catalyzing a movement. The data suggest a tentative hypothesis that certain pioneer leaders can become effective in catalyzing a movement, irrespective of the receptivity of the overall population in that community.</w:t>
      </w:r>
    </w:p>
    <w:p w14:paraId="00000042" w14:textId="4F8AFE4C" w:rsidR="00356CC7" w:rsidRDefault="53CE7795"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color w:val="000000"/>
          <w:sz w:val="24"/>
          <w:szCs w:val="24"/>
        </w:rPr>
      </w:pPr>
      <w:r w:rsidRPr="53CE7795">
        <w:rPr>
          <w:rFonts w:ascii="Times New Roman" w:eastAsia="Times New Roman" w:hAnsi="Times New Roman" w:cs="Times New Roman"/>
          <w:color w:val="000000" w:themeColor="text1"/>
          <w:sz w:val="24"/>
          <w:szCs w:val="24"/>
        </w:rPr>
        <w:lastRenderedPageBreak/>
        <w:t>Since the divine element eludes human investigation, our understanding of the factors that contribute to movements leans even more heavily on the person of the catalyst. This focus confirms Greg Livingstone’s premise: “The human factor will be the variable between effective and ineffective church planting efforts” (Livingstone 1993, 26). Through demonstrating that neither length of prior gospel proclamation nor gospel receptivity are normative factors, this study points to pioneering movement catalysts as a key factor in catalyzing movements. This study and corresponding research (Prinz 2021) verify this conviction, showing a strong association between a catalyst who exhibits certain traits and competencies and the effective catalyzing of movements.</w:t>
      </w:r>
    </w:p>
    <w:p w14:paraId="00000043" w14:textId="6C54FED7" w:rsidR="00356CC7" w:rsidRDefault="6B65F250" w:rsidP="6B65F250">
      <w:pPr>
        <w:pBdr>
          <w:top w:val="nil"/>
          <w:left w:val="nil"/>
          <w:bottom w:val="nil"/>
          <w:right w:val="nil"/>
          <w:between w:val="nil"/>
        </w:pBdr>
        <w:spacing w:after="160" w:line="240" w:lineRule="auto"/>
        <w:ind w:firstLine="360"/>
        <w:jc w:val="both"/>
        <w:rPr>
          <w:rFonts w:ascii="Times New Roman" w:eastAsia="Times New Roman" w:hAnsi="Times New Roman" w:cs="Times New Roman"/>
          <w:sz w:val="24"/>
          <w:szCs w:val="24"/>
        </w:rPr>
      </w:pPr>
      <w:r w:rsidRPr="6B65F250">
        <w:rPr>
          <w:rFonts w:ascii="Times New Roman" w:eastAsia="Times New Roman" w:hAnsi="Times New Roman" w:cs="Times New Roman"/>
          <w:sz w:val="24"/>
          <w:szCs w:val="24"/>
        </w:rPr>
        <w:t xml:space="preserve">This article should encourage expectant faith and boldness among those the Lord is calling to catalyze a movement among the unreached. Neither limited length of gospel proclamation nor apparent lack of receptivity among a people group should diminish anyone’s faith that a movement breakthrough is possible and indeed may be imminent. The great need is a catalyst equipped with a set of </w:t>
      </w:r>
      <w:proofErr w:type="gramStart"/>
      <w:r w:rsidRPr="6B65F250">
        <w:rPr>
          <w:rFonts w:ascii="Times New Roman" w:eastAsia="Times New Roman" w:hAnsi="Times New Roman" w:cs="Times New Roman"/>
          <w:sz w:val="24"/>
          <w:szCs w:val="24"/>
        </w:rPr>
        <w:t>particular traits</w:t>
      </w:r>
      <w:proofErr w:type="gramEnd"/>
      <w:r w:rsidRPr="6B65F250">
        <w:rPr>
          <w:rFonts w:ascii="Times New Roman" w:eastAsia="Times New Roman" w:hAnsi="Times New Roman" w:cs="Times New Roman"/>
          <w:sz w:val="24"/>
          <w:szCs w:val="24"/>
        </w:rPr>
        <w:t xml:space="preserve"> and competencies who works in synergy with God as skilled master builder.</w:t>
      </w:r>
    </w:p>
    <w:p w14:paraId="00000044" w14:textId="77777777" w:rsidR="00356CC7" w:rsidRDefault="008F3C1E">
      <w:pPr>
        <w:pStyle w:val="Heading1"/>
        <w:spacing w:after="24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References</w:t>
      </w:r>
    </w:p>
    <w:p w14:paraId="00000045" w14:textId="283CB977" w:rsidR="00356CC7" w:rsidRDefault="6B65F250" w:rsidP="6B65F250">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B65F250">
        <w:rPr>
          <w:rFonts w:ascii="Times New Roman" w:eastAsia="Times New Roman" w:hAnsi="Times New Roman" w:cs="Times New Roman"/>
          <w:sz w:val="24"/>
          <w:szCs w:val="24"/>
        </w:rPr>
        <w:t xml:space="preserve">Blanc, Jean L. (2006). </w:t>
      </w:r>
      <w:proofErr w:type="spellStart"/>
      <w:r w:rsidRPr="6B65F250">
        <w:rPr>
          <w:rFonts w:ascii="Times New Roman" w:eastAsia="Times New Roman" w:hAnsi="Times New Roman" w:cs="Times New Roman"/>
          <w:i/>
          <w:iCs/>
          <w:sz w:val="24"/>
          <w:szCs w:val="24"/>
        </w:rPr>
        <w:t>Algérie</w:t>
      </w:r>
      <w:proofErr w:type="spellEnd"/>
      <w:r w:rsidRPr="6B65F250">
        <w:rPr>
          <w:rFonts w:ascii="Times New Roman" w:eastAsia="Times New Roman" w:hAnsi="Times New Roman" w:cs="Times New Roman"/>
          <w:i/>
          <w:iCs/>
          <w:sz w:val="24"/>
          <w:szCs w:val="24"/>
        </w:rPr>
        <w:t xml:space="preserve">, </w:t>
      </w:r>
      <w:proofErr w:type="spellStart"/>
      <w:r w:rsidRPr="6B65F250">
        <w:rPr>
          <w:rFonts w:ascii="Times New Roman" w:eastAsia="Times New Roman" w:hAnsi="Times New Roman" w:cs="Times New Roman"/>
          <w:i/>
          <w:iCs/>
          <w:sz w:val="24"/>
          <w:szCs w:val="24"/>
        </w:rPr>
        <w:t>tu</w:t>
      </w:r>
      <w:proofErr w:type="spellEnd"/>
      <w:r w:rsidRPr="6B65F250">
        <w:rPr>
          <w:rFonts w:ascii="Times New Roman" w:eastAsia="Times New Roman" w:hAnsi="Times New Roman" w:cs="Times New Roman"/>
          <w:i/>
          <w:iCs/>
          <w:sz w:val="24"/>
          <w:szCs w:val="24"/>
        </w:rPr>
        <w:t xml:space="preserve"> es à </w:t>
      </w:r>
      <w:proofErr w:type="spellStart"/>
      <w:proofErr w:type="gramStart"/>
      <w:r w:rsidRPr="6B65F250">
        <w:rPr>
          <w:rFonts w:ascii="Times New Roman" w:eastAsia="Times New Roman" w:hAnsi="Times New Roman" w:cs="Times New Roman"/>
          <w:i/>
          <w:iCs/>
          <w:sz w:val="24"/>
          <w:szCs w:val="24"/>
        </w:rPr>
        <w:t>moi</w:t>
      </w:r>
      <w:proofErr w:type="spellEnd"/>
      <w:r w:rsidRPr="6B65F250">
        <w:rPr>
          <w:rFonts w:ascii="Times New Roman" w:eastAsia="Times New Roman" w:hAnsi="Times New Roman" w:cs="Times New Roman"/>
          <w:i/>
          <w:iCs/>
          <w:sz w:val="24"/>
          <w:szCs w:val="24"/>
        </w:rPr>
        <w:t>!,</w:t>
      </w:r>
      <w:proofErr w:type="gramEnd"/>
      <w:r w:rsidRPr="6B65F250">
        <w:rPr>
          <w:rFonts w:ascii="Times New Roman" w:eastAsia="Times New Roman" w:hAnsi="Times New Roman" w:cs="Times New Roman"/>
          <w:i/>
          <w:iCs/>
          <w:sz w:val="24"/>
          <w:szCs w:val="24"/>
        </w:rPr>
        <w:t xml:space="preserve"> </w:t>
      </w:r>
      <w:proofErr w:type="spellStart"/>
      <w:r w:rsidRPr="6B65F250">
        <w:rPr>
          <w:rFonts w:ascii="Times New Roman" w:eastAsia="Times New Roman" w:hAnsi="Times New Roman" w:cs="Times New Roman"/>
          <w:i/>
          <w:iCs/>
          <w:sz w:val="24"/>
          <w:szCs w:val="24"/>
        </w:rPr>
        <w:t>signé</w:t>
      </w:r>
      <w:proofErr w:type="spellEnd"/>
      <w:r w:rsidRPr="6B65F250">
        <w:rPr>
          <w:rFonts w:ascii="Times New Roman" w:eastAsia="Times New Roman" w:hAnsi="Times New Roman" w:cs="Times New Roman"/>
          <w:i/>
          <w:iCs/>
          <w:sz w:val="24"/>
          <w:szCs w:val="24"/>
        </w:rPr>
        <w:t xml:space="preserve"> Dieu</w:t>
      </w:r>
      <w:r w:rsidRPr="6B65F250">
        <w:rPr>
          <w:rFonts w:ascii="Times New Roman" w:eastAsia="Times New Roman" w:hAnsi="Times New Roman" w:cs="Times New Roman"/>
          <w:sz w:val="24"/>
          <w:szCs w:val="24"/>
        </w:rPr>
        <w:t xml:space="preserve"> (</w:t>
      </w:r>
      <w:r w:rsidRPr="6B65F250">
        <w:rPr>
          <w:rFonts w:ascii="Times New Roman" w:eastAsia="Times New Roman" w:hAnsi="Times New Roman" w:cs="Times New Roman"/>
          <w:i/>
          <w:iCs/>
          <w:sz w:val="24"/>
          <w:szCs w:val="24"/>
        </w:rPr>
        <w:t>Algeria, You Are Mine!, Signed by God</w:t>
      </w:r>
      <w:r w:rsidRPr="6B65F250">
        <w:rPr>
          <w:rFonts w:ascii="Times New Roman" w:eastAsia="Times New Roman" w:hAnsi="Times New Roman" w:cs="Times New Roman"/>
          <w:sz w:val="24"/>
          <w:szCs w:val="24"/>
        </w:rPr>
        <w:t xml:space="preserve">). </w:t>
      </w:r>
      <w:proofErr w:type="spellStart"/>
      <w:r w:rsidRPr="6B65F250">
        <w:rPr>
          <w:rFonts w:ascii="Times New Roman" w:eastAsia="Times New Roman" w:hAnsi="Times New Roman" w:cs="Times New Roman"/>
          <w:sz w:val="24"/>
          <w:szCs w:val="24"/>
        </w:rPr>
        <w:t>Thoune</w:t>
      </w:r>
      <w:proofErr w:type="spellEnd"/>
      <w:r w:rsidRPr="6B65F250">
        <w:rPr>
          <w:rFonts w:ascii="Times New Roman" w:eastAsia="Times New Roman" w:hAnsi="Times New Roman" w:cs="Times New Roman"/>
          <w:sz w:val="24"/>
          <w:szCs w:val="24"/>
        </w:rPr>
        <w:t xml:space="preserve">: Editions </w:t>
      </w:r>
      <w:proofErr w:type="spellStart"/>
      <w:r w:rsidRPr="6B65F250">
        <w:rPr>
          <w:rFonts w:ascii="Times New Roman" w:eastAsia="Times New Roman" w:hAnsi="Times New Roman" w:cs="Times New Roman"/>
          <w:sz w:val="24"/>
          <w:szCs w:val="24"/>
        </w:rPr>
        <w:t>Sénevé</w:t>
      </w:r>
      <w:proofErr w:type="spellEnd"/>
      <w:r w:rsidRPr="6B65F250">
        <w:rPr>
          <w:rFonts w:ascii="Times New Roman" w:eastAsia="Times New Roman" w:hAnsi="Times New Roman" w:cs="Times New Roman"/>
          <w:sz w:val="24"/>
          <w:szCs w:val="24"/>
        </w:rPr>
        <w:t>.</w:t>
      </w:r>
    </w:p>
    <w:p w14:paraId="00000046" w14:textId="600C5E96"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Calvin, Jean (1989 [1536]). </w:t>
      </w:r>
      <w:r w:rsidRPr="63DCED76">
        <w:rPr>
          <w:rFonts w:ascii="Times New Roman" w:eastAsia="Times New Roman" w:hAnsi="Times New Roman" w:cs="Times New Roman"/>
          <w:i/>
          <w:iCs/>
          <w:sz w:val="24"/>
          <w:szCs w:val="24"/>
        </w:rPr>
        <w:t>Institutes of the Christian Religion</w:t>
      </w:r>
      <w:r w:rsidRPr="63DCED76">
        <w:rPr>
          <w:rFonts w:ascii="Times New Roman" w:eastAsia="Times New Roman" w:hAnsi="Times New Roman" w:cs="Times New Roman"/>
          <w:sz w:val="24"/>
          <w:szCs w:val="24"/>
        </w:rPr>
        <w:t>. Trans. by Henry Beveridge. Grand Rapids: Eerdmans.</w:t>
      </w:r>
    </w:p>
    <w:p w14:paraId="62F6384C" w14:textId="4158EB77" w:rsidR="00356CC7" w:rsidRDefault="53CE7795" w:rsidP="53CE7795">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53CE7795">
        <w:rPr>
          <w:rFonts w:ascii="Times New Roman" w:eastAsia="Times New Roman" w:hAnsi="Times New Roman" w:cs="Times New Roman"/>
          <w:sz w:val="24"/>
          <w:szCs w:val="24"/>
        </w:rPr>
        <w:t xml:space="preserve">Clark, Gordon H. (2006). </w:t>
      </w:r>
      <w:r w:rsidRPr="53CE7795">
        <w:rPr>
          <w:rFonts w:ascii="Times New Roman" w:eastAsia="Times New Roman" w:hAnsi="Times New Roman" w:cs="Times New Roman"/>
          <w:i/>
          <w:iCs/>
          <w:sz w:val="24"/>
          <w:szCs w:val="24"/>
        </w:rPr>
        <w:t>Predestination</w:t>
      </w:r>
      <w:r w:rsidRPr="53CE7795">
        <w:rPr>
          <w:rFonts w:ascii="Times New Roman" w:eastAsia="Times New Roman" w:hAnsi="Times New Roman" w:cs="Times New Roman"/>
          <w:sz w:val="24"/>
          <w:szCs w:val="24"/>
        </w:rPr>
        <w:t>. Unicoi: The Trinity Foundation.</w:t>
      </w:r>
    </w:p>
    <w:p w14:paraId="00000048" w14:textId="180CB8A2" w:rsidR="00356CC7" w:rsidRDefault="53CE7795"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53CE7795">
        <w:rPr>
          <w:rFonts w:ascii="Times New Roman" w:eastAsia="Times New Roman" w:hAnsi="Times New Roman" w:cs="Times New Roman"/>
          <w:sz w:val="24"/>
          <w:szCs w:val="24"/>
        </w:rPr>
        <w:t xml:space="preserve">Clark, Jeffrey W. (2013). </w:t>
      </w:r>
      <w:r w:rsidRPr="53CE7795">
        <w:rPr>
          <w:rFonts w:ascii="Times New Roman" w:eastAsia="Times New Roman" w:hAnsi="Times New Roman" w:cs="Times New Roman"/>
          <w:i/>
          <w:iCs/>
          <w:sz w:val="24"/>
          <w:szCs w:val="24"/>
        </w:rPr>
        <w:t>If God Is in Control of Everything, Why Evangelize? The Evangelistic Theology of James I. Packer in Contemporary Literature and Practice</w:t>
      </w:r>
      <w:r w:rsidRPr="53CE7795">
        <w:rPr>
          <w:rFonts w:ascii="Times New Roman" w:eastAsia="Times New Roman" w:hAnsi="Times New Roman" w:cs="Times New Roman"/>
          <w:sz w:val="24"/>
          <w:szCs w:val="24"/>
        </w:rPr>
        <w:t xml:space="preserve">. </w:t>
      </w:r>
      <w:proofErr w:type="spellStart"/>
      <w:r w:rsidRPr="53CE7795">
        <w:rPr>
          <w:rFonts w:ascii="Times New Roman" w:eastAsia="Times New Roman" w:hAnsi="Times New Roman" w:cs="Times New Roman"/>
          <w:sz w:val="24"/>
          <w:szCs w:val="24"/>
        </w:rPr>
        <w:t>WaveCloud</w:t>
      </w:r>
      <w:proofErr w:type="spellEnd"/>
      <w:r w:rsidRPr="53CE7795">
        <w:rPr>
          <w:rFonts w:ascii="Times New Roman" w:eastAsia="Times New Roman" w:hAnsi="Times New Roman" w:cs="Times New Roman"/>
          <w:sz w:val="24"/>
          <w:szCs w:val="24"/>
        </w:rPr>
        <w:t>.</w:t>
      </w:r>
    </w:p>
    <w:p w14:paraId="00000049" w14:textId="199F2B8D"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Dayton, Edward R. and Fraser, David A. (2003). </w:t>
      </w:r>
      <w:r w:rsidRPr="63DCED76">
        <w:rPr>
          <w:rFonts w:ascii="Times New Roman" w:eastAsia="Times New Roman" w:hAnsi="Times New Roman" w:cs="Times New Roman"/>
          <w:i/>
          <w:iCs/>
          <w:sz w:val="24"/>
          <w:szCs w:val="24"/>
        </w:rPr>
        <w:t>Planning Strategies for World Evangelization</w:t>
      </w:r>
      <w:r w:rsidRPr="63DCED76">
        <w:rPr>
          <w:rFonts w:ascii="Times New Roman" w:eastAsia="Times New Roman" w:hAnsi="Times New Roman" w:cs="Times New Roman"/>
          <w:sz w:val="24"/>
          <w:szCs w:val="24"/>
        </w:rPr>
        <w:t>. Eugene: Wipf &amp; Stock.</w:t>
      </w:r>
    </w:p>
    <w:p w14:paraId="0000004A" w14:textId="737CA790"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Farah, Warrick, ed. (2021). </w:t>
      </w:r>
      <w:r w:rsidRPr="63DCED76">
        <w:rPr>
          <w:rFonts w:ascii="Times New Roman" w:eastAsia="Times New Roman" w:hAnsi="Times New Roman" w:cs="Times New Roman"/>
          <w:i/>
          <w:iCs/>
          <w:sz w:val="24"/>
          <w:szCs w:val="24"/>
        </w:rPr>
        <w:t>Motus Dei: The Movement of God and the Discipleship of Nations</w:t>
      </w:r>
      <w:r w:rsidRPr="63DCED76">
        <w:rPr>
          <w:rFonts w:ascii="Times New Roman" w:eastAsia="Times New Roman" w:hAnsi="Times New Roman" w:cs="Times New Roman"/>
          <w:sz w:val="24"/>
          <w:szCs w:val="24"/>
        </w:rPr>
        <w:t>. Littleton: William Carey.</w:t>
      </w:r>
    </w:p>
    <w:p w14:paraId="0000004B" w14:textId="5ED336DD"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Garrison, David (2014). </w:t>
      </w:r>
      <w:r w:rsidRPr="63DCED76">
        <w:rPr>
          <w:rFonts w:ascii="Times New Roman" w:eastAsia="Times New Roman" w:hAnsi="Times New Roman" w:cs="Times New Roman"/>
          <w:i/>
          <w:iCs/>
          <w:sz w:val="24"/>
          <w:szCs w:val="24"/>
        </w:rPr>
        <w:t>A Wind in the House of Islam: How God is Drawing Muslims around the World to Faith in Jesus Christ</w:t>
      </w:r>
      <w:r w:rsidRPr="63DCED76">
        <w:rPr>
          <w:rFonts w:ascii="Times New Roman" w:eastAsia="Times New Roman" w:hAnsi="Times New Roman" w:cs="Times New Roman"/>
          <w:sz w:val="24"/>
          <w:szCs w:val="24"/>
        </w:rPr>
        <w:t xml:space="preserve">. Midlothian: </w:t>
      </w:r>
      <w:proofErr w:type="spellStart"/>
      <w:r w:rsidRPr="63DCED76">
        <w:rPr>
          <w:rFonts w:ascii="Times New Roman" w:eastAsia="Times New Roman" w:hAnsi="Times New Roman" w:cs="Times New Roman"/>
          <w:sz w:val="24"/>
          <w:szCs w:val="24"/>
        </w:rPr>
        <w:t>WIGTake</w:t>
      </w:r>
      <w:proofErr w:type="spellEnd"/>
      <w:r w:rsidRPr="63DCED76">
        <w:rPr>
          <w:rFonts w:ascii="Times New Roman" w:eastAsia="Times New Roman" w:hAnsi="Times New Roman" w:cs="Times New Roman"/>
          <w:sz w:val="24"/>
          <w:szCs w:val="24"/>
        </w:rPr>
        <w:t xml:space="preserve"> Resource.</w:t>
      </w:r>
    </w:p>
    <w:p w14:paraId="0000004C" w14:textId="4680BF85" w:rsidR="00356CC7" w:rsidRDefault="63DCED76" w:rsidP="6B65F250">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proofErr w:type="spellStart"/>
      <w:r w:rsidRPr="6B65F250">
        <w:rPr>
          <w:rFonts w:ascii="Times New Roman" w:eastAsia="Times New Roman" w:hAnsi="Times New Roman" w:cs="Times New Roman"/>
          <w:sz w:val="24"/>
          <w:szCs w:val="24"/>
        </w:rPr>
        <w:t>Goldmann</w:t>
      </w:r>
      <w:proofErr w:type="spellEnd"/>
      <w:r w:rsidRPr="6B65F250">
        <w:rPr>
          <w:rFonts w:ascii="Times New Roman" w:eastAsia="Times New Roman" w:hAnsi="Times New Roman" w:cs="Times New Roman"/>
          <w:sz w:val="24"/>
          <w:szCs w:val="24"/>
        </w:rPr>
        <w:t xml:space="preserve">, Bob. (2006). Are We Accelerating or Inhibiting Movements to Christ? </w:t>
      </w:r>
      <w:r w:rsidRPr="6B65F250">
        <w:rPr>
          <w:rFonts w:ascii="Times New Roman" w:eastAsia="Times New Roman" w:hAnsi="Times New Roman" w:cs="Times New Roman"/>
          <w:i/>
          <w:iCs/>
          <w:sz w:val="24"/>
          <w:szCs w:val="24"/>
        </w:rPr>
        <w:t>Mission Frontiers</w:t>
      </w:r>
      <w:r w:rsidRPr="6B65F250">
        <w:rPr>
          <w:rFonts w:ascii="Times New Roman" w:eastAsia="Times New Roman" w:hAnsi="Times New Roman" w:cs="Times New Roman"/>
          <w:sz w:val="24"/>
          <w:szCs w:val="24"/>
        </w:rPr>
        <w:t xml:space="preserve"> 28, 8-13.</w:t>
      </w:r>
      <w:r w:rsidR="6B65F250" w:rsidRPr="6B65F250">
        <w:rPr>
          <w:rFonts w:ascii="Times New Roman" w:eastAsia="Times New Roman" w:hAnsi="Times New Roman" w:cs="Times New Roman"/>
          <w:sz w:val="24"/>
          <w:szCs w:val="24"/>
        </w:rPr>
        <w:t xml:space="preserve"> Available online at </w:t>
      </w:r>
      <w:hyperlink r:id="rId10">
        <w:r w:rsidR="6B65F250" w:rsidRPr="6B65F250">
          <w:rPr>
            <w:rStyle w:val="Hyperlink"/>
            <w:rFonts w:ascii="Times New Roman" w:eastAsia="Times New Roman" w:hAnsi="Times New Roman" w:cs="Times New Roman"/>
            <w:color w:val="auto"/>
            <w:sz w:val="24"/>
            <w:szCs w:val="24"/>
          </w:rPr>
          <w:t>http://www.missionfrontiers.org/issue/article/are-we-accelerating-or-inhibiting-movements-to-christ</w:t>
        </w:r>
      </w:hyperlink>
      <w:r w:rsidRPr="6B65F250">
        <w:rPr>
          <w:rFonts w:ascii="Times New Roman" w:eastAsia="Times New Roman" w:hAnsi="Times New Roman" w:cs="Times New Roman"/>
          <w:sz w:val="24"/>
          <w:szCs w:val="24"/>
        </w:rPr>
        <w:t xml:space="preserve"> (accessed January 25, 2022).</w:t>
      </w:r>
    </w:p>
    <w:p w14:paraId="0000004D" w14:textId="4CD35EB5" w:rsidR="00356CC7" w:rsidRDefault="6B65F250" w:rsidP="6B65F250">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B65F250">
        <w:rPr>
          <w:rFonts w:ascii="Times New Roman" w:eastAsia="Times New Roman" w:hAnsi="Times New Roman" w:cs="Times New Roman"/>
          <w:sz w:val="24"/>
          <w:szCs w:val="24"/>
        </w:rPr>
        <w:t xml:space="preserve">Grudem, Wayne A. (1994). </w:t>
      </w:r>
      <w:r w:rsidRPr="6B65F250">
        <w:rPr>
          <w:rFonts w:ascii="Times New Roman" w:eastAsia="Times New Roman" w:hAnsi="Times New Roman" w:cs="Times New Roman"/>
          <w:i/>
          <w:iCs/>
          <w:sz w:val="24"/>
          <w:szCs w:val="24"/>
        </w:rPr>
        <w:t>Systematic Theology: An Introduction to Biblical Doctrine</w:t>
      </w:r>
      <w:r w:rsidRPr="6B65F250">
        <w:rPr>
          <w:rFonts w:ascii="Times New Roman" w:eastAsia="Times New Roman" w:hAnsi="Times New Roman" w:cs="Times New Roman"/>
          <w:sz w:val="24"/>
          <w:szCs w:val="24"/>
        </w:rPr>
        <w:t>. Grand Rapids: Zondervan.</w:t>
      </w:r>
    </w:p>
    <w:p w14:paraId="0000004E" w14:textId="3B533105"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Livingstone, Greg (1993). </w:t>
      </w:r>
      <w:r w:rsidRPr="63DCED76">
        <w:rPr>
          <w:rFonts w:ascii="Times New Roman" w:eastAsia="Times New Roman" w:hAnsi="Times New Roman" w:cs="Times New Roman"/>
          <w:i/>
          <w:iCs/>
          <w:sz w:val="24"/>
          <w:szCs w:val="24"/>
        </w:rPr>
        <w:t>Planting Churches in Muslim Cities: A Team Approach</w:t>
      </w:r>
      <w:r w:rsidRPr="63DCED76">
        <w:rPr>
          <w:rFonts w:ascii="Times New Roman" w:eastAsia="Times New Roman" w:hAnsi="Times New Roman" w:cs="Times New Roman"/>
          <w:sz w:val="24"/>
          <w:szCs w:val="24"/>
        </w:rPr>
        <w:t>. Grand Rapids: Baker Book House.</w:t>
      </w:r>
    </w:p>
    <w:p w14:paraId="0000004F" w14:textId="049A01BC" w:rsidR="00356CC7" w:rsidRPr="00F77EAF" w:rsidRDefault="6B65F250" w:rsidP="6B65F250">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lang w:val="de-DE"/>
        </w:rPr>
      </w:pPr>
      <w:r w:rsidRPr="6B65F250">
        <w:rPr>
          <w:rFonts w:ascii="Times New Roman" w:eastAsia="Times New Roman" w:hAnsi="Times New Roman" w:cs="Times New Roman"/>
          <w:sz w:val="24"/>
          <w:szCs w:val="24"/>
        </w:rPr>
        <w:t xml:space="preserve">Luther, Martin 1973 [1516]. </w:t>
      </w:r>
      <w:proofErr w:type="spellStart"/>
      <w:r w:rsidRPr="6B65F250">
        <w:rPr>
          <w:rFonts w:ascii="Times New Roman" w:eastAsia="Times New Roman" w:hAnsi="Times New Roman" w:cs="Times New Roman"/>
          <w:i/>
          <w:iCs/>
          <w:sz w:val="24"/>
          <w:szCs w:val="24"/>
        </w:rPr>
        <w:t>Römerbriefvorlesung</w:t>
      </w:r>
      <w:proofErr w:type="spellEnd"/>
      <w:r w:rsidRPr="6B65F250">
        <w:rPr>
          <w:rFonts w:ascii="Times New Roman" w:eastAsia="Times New Roman" w:hAnsi="Times New Roman" w:cs="Times New Roman"/>
          <w:sz w:val="24"/>
          <w:szCs w:val="24"/>
        </w:rPr>
        <w:t xml:space="preserve"> (</w:t>
      </w:r>
      <w:r w:rsidRPr="6B65F250">
        <w:rPr>
          <w:rFonts w:ascii="Times New Roman" w:eastAsia="Times New Roman" w:hAnsi="Times New Roman" w:cs="Times New Roman"/>
          <w:i/>
          <w:iCs/>
          <w:sz w:val="24"/>
          <w:szCs w:val="24"/>
        </w:rPr>
        <w:t>Lectures on Romans</w:t>
      </w:r>
      <w:r w:rsidRPr="6B65F250">
        <w:rPr>
          <w:rFonts w:ascii="Times New Roman" w:eastAsia="Times New Roman" w:hAnsi="Times New Roman" w:cs="Times New Roman"/>
          <w:sz w:val="24"/>
          <w:szCs w:val="24"/>
        </w:rPr>
        <w:t xml:space="preserve">). </w:t>
      </w:r>
      <w:r w:rsidRPr="00F77EAF">
        <w:rPr>
          <w:rFonts w:ascii="Times New Roman" w:eastAsia="Times New Roman" w:hAnsi="Times New Roman" w:cs="Times New Roman"/>
          <w:sz w:val="24"/>
          <w:szCs w:val="24"/>
          <w:lang w:val="de-DE"/>
        </w:rPr>
        <w:t>Hg. von S. Borcherdt &amp; Georg Merz. München: Chr. Kaiser Verlag.</w:t>
      </w:r>
    </w:p>
    <w:p w14:paraId="00000050" w14:textId="0E5F794C"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proofErr w:type="spellStart"/>
      <w:r w:rsidRPr="63DCED76">
        <w:rPr>
          <w:rFonts w:ascii="Times New Roman" w:eastAsia="Times New Roman" w:hAnsi="Times New Roman" w:cs="Times New Roman"/>
          <w:sz w:val="24"/>
          <w:szCs w:val="24"/>
        </w:rPr>
        <w:t>Mandryk</w:t>
      </w:r>
      <w:proofErr w:type="spellEnd"/>
      <w:r w:rsidRPr="63DCED76">
        <w:rPr>
          <w:rFonts w:ascii="Times New Roman" w:eastAsia="Times New Roman" w:hAnsi="Times New Roman" w:cs="Times New Roman"/>
          <w:sz w:val="24"/>
          <w:szCs w:val="24"/>
        </w:rPr>
        <w:t xml:space="preserve">, Jason (2010). </w:t>
      </w:r>
      <w:r w:rsidRPr="63DCED76">
        <w:rPr>
          <w:rFonts w:ascii="Times New Roman" w:eastAsia="Times New Roman" w:hAnsi="Times New Roman" w:cs="Times New Roman"/>
          <w:i/>
          <w:iCs/>
          <w:sz w:val="24"/>
          <w:szCs w:val="24"/>
        </w:rPr>
        <w:t>Operation World: The Definitive Prayer Guide to Every Nation</w:t>
      </w:r>
      <w:r w:rsidRPr="63DCED76">
        <w:rPr>
          <w:rFonts w:ascii="Times New Roman" w:eastAsia="Times New Roman" w:hAnsi="Times New Roman" w:cs="Times New Roman"/>
          <w:sz w:val="24"/>
          <w:szCs w:val="24"/>
        </w:rPr>
        <w:t>. 7</w:t>
      </w:r>
      <w:r w:rsidRPr="63DCED76">
        <w:rPr>
          <w:rFonts w:ascii="Times New Roman" w:eastAsia="Times New Roman" w:hAnsi="Times New Roman" w:cs="Times New Roman"/>
          <w:sz w:val="24"/>
          <w:szCs w:val="24"/>
          <w:vertAlign w:val="superscript"/>
        </w:rPr>
        <w:t>th</w:t>
      </w:r>
      <w:r w:rsidRPr="63DCED76">
        <w:rPr>
          <w:rFonts w:ascii="Times New Roman" w:eastAsia="Times New Roman" w:hAnsi="Times New Roman" w:cs="Times New Roman"/>
          <w:sz w:val="24"/>
          <w:szCs w:val="24"/>
        </w:rPr>
        <w:t xml:space="preserve"> ed. Colorado Springs: </w:t>
      </w:r>
      <w:proofErr w:type="spellStart"/>
      <w:r w:rsidRPr="63DCED76">
        <w:rPr>
          <w:rFonts w:ascii="Times New Roman" w:eastAsia="Times New Roman" w:hAnsi="Times New Roman" w:cs="Times New Roman"/>
          <w:sz w:val="24"/>
          <w:szCs w:val="24"/>
        </w:rPr>
        <w:t>Biblica</w:t>
      </w:r>
      <w:proofErr w:type="spellEnd"/>
      <w:r w:rsidRPr="63DCED76">
        <w:rPr>
          <w:rFonts w:ascii="Times New Roman" w:eastAsia="Times New Roman" w:hAnsi="Times New Roman" w:cs="Times New Roman"/>
          <w:sz w:val="24"/>
          <w:szCs w:val="24"/>
        </w:rPr>
        <w:t xml:space="preserve"> Publishing.</w:t>
      </w:r>
    </w:p>
    <w:p w14:paraId="00000051" w14:textId="47B1D8D2"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i/>
          <w:iCs/>
          <w:sz w:val="24"/>
          <w:szCs w:val="24"/>
        </w:rPr>
      </w:pPr>
      <w:r w:rsidRPr="63DCED76">
        <w:rPr>
          <w:rFonts w:ascii="Times New Roman" w:eastAsia="Times New Roman" w:hAnsi="Times New Roman" w:cs="Times New Roman"/>
          <w:sz w:val="24"/>
          <w:szCs w:val="24"/>
        </w:rPr>
        <w:lastRenderedPageBreak/>
        <w:t xml:space="preserve">Marsh, Charles (1970). </w:t>
      </w:r>
      <w:r w:rsidRPr="63DCED76">
        <w:rPr>
          <w:rFonts w:ascii="Times New Roman" w:eastAsia="Times New Roman" w:hAnsi="Times New Roman" w:cs="Times New Roman"/>
          <w:i/>
          <w:iCs/>
          <w:sz w:val="24"/>
          <w:szCs w:val="24"/>
        </w:rPr>
        <w:t>Too Hard for God?</w:t>
      </w:r>
      <w:r w:rsidRPr="63DCED76">
        <w:rPr>
          <w:rFonts w:ascii="Times New Roman" w:eastAsia="Times New Roman" w:hAnsi="Times New Roman" w:cs="Times New Roman"/>
          <w:sz w:val="24"/>
          <w:szCs w:val="24"/>
        </w:rPr>
        <w:t xml:space="preserve"> Carlisle: Paternoster Publishing.</w:t>
      </w:r>
    </w:p>
    <w:p w14:paraId="00000052" w14:textId="335FB8FF"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Marsh, Daisy M. and </w:t>
      </w:r>
      <w:proofErr w:type="spellStart"/>
      <w:r w:rsidRPr="63DCED76">
        <w:rPr>
          <w:rFonts w:ascii="Times New Roman" w:eastAsia="Times New Roman" w:hAnsi="Times New Roman" w:cs="Times New Roman"/>
          <w:sz w:val="24"/>
          <w:szCs w:val="24"/>
        </w:rPr>
        <w:t>Verwer</w:t>
      </w:r>
      <w:proofErr w:type="spellEnd"/>
      <w:r w:rsidRPr="63DCED76">
        <w:rPr>
          <w:rFonts w:ascii="Times New Roman" w:eastAsia="Times New Roman" w:hAnsi="Times New Roman" w:cs="Times New Roman"/>
          <w:sz w:val="24"/>
          <w:szCs w:val="24"/>
        </w:rPr>
        <w:t xml:space="preserve">, George (1997). </w:t>
      </w:r>
      <w:r w:rsidRPr="63DCED76">
        <w:rPr>
          <w:rFonts w:ascii="Times New Roman" w:eastAsia="Times New Roman" w:hAnsi="Times New Roman" w:cs="Times New Roman"/>
          <w:i/>
          <w:iCs/>
          <w:sz w:val="24"/>
          <w:szCs w:val="24"/>
        </w:rPr>
        <w:t>There’s a God in heaven: Life Experiences among North Africans</w:t>
      </w:r>
      <w:r w:rsidRPr="63DCED76">
        <w:rPr>
          <w:rFonts w:ascii="Times New Roman" w:eastAsia="Times New Roman" w:hAnsi="Times New Roman" w:cs="Times New Roman"/>
          <w:sz w:val="24"/>
          <w:szCs w:val="24"/>
        </w:rPr>
        <w:t>. London: Gazelle Books.</w:t>
      </w:r>
    </w:p>
    <w:p w14:paraId="00000053" w14:textId="77777777"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Packer, James I. 2008. </w:t>
      </w:r>
      <w:r w:rsidRPr="63DCED76">
        <w:rPr>
          <w:rFonts w:ascii="Times New Roman" w:eastAsia="Times New Roman" w:hAnsi="Times New Roman" w:cs="Times New Roman"/>
          <w:i/>
          <w:iCs/>
          <w:sz w:val="24"/>
          <w:szCs w:val="24"/>
        </w:rPr>
        <w:t>Evangelism and the Sovereignty of God</w:t>
      </w:r>
      <w:r w:rsidRPr="63DCED76">
        <w:rPr>
          <w:rFonts w:ascii="Times New Roman" w:eastAsia="Times New Roman" w:hAnsi="Times New Roman" w:cs="Times New Roman"/>
          <w:sz w:val="24"/>
          <w:szCs w:val="24"/>
        </w:rPr>
        <w:t>. Downers Grove: InterVarsity Press.</w:t>
      </w:r>
    </w:p>
    <w:p w14:paraId="00000054" w14:textId="55AB5A7F" w:rsidR="00356CC7" w:rsidRDefault="6B65F250" w:rsidP="6B65F250">
      <w:pPr>
        <w:pBdr>
          <w:top w:val="nil"/>
          <w:left w:val="nil"/>
          <w:bottom w:val="nil"/>
          <w:right w:val="nil"/>
          <w:between w:val="nil"/>
        </w:pBdr>
        <w:spacing w:after="160" w:line="240" w:lineRule="auto"/>
        <w:ind w:left="360" w:hanging="360"/>
        <w:jc w:val="both"/>
        <w:rPr>
          <w:rFonts w:ascii="Times New Roman" w:eastAsia="Times New Roman" w:hAnsi="Times New Roman" w:cs="Times New Roman"/>
          <w:i/>
          <w:iCs/>
          <w:sz w:val="24"/>
          <w:szCs w:val="24"/>
        </w:rPr>
      </w:pPr>
      <w:r w:rsidRPr="6B65F250">
        <w:rPr>
          <w:rFonts w:ascii="Times New Roman" w:eastAsia="Times New Roman" w:hAnsi="Times New Roman" w:cs="Times New Roman"/>
          <w:sz w:val="24"/>
          <w:szCs w:val="24"/>
        </w:rPr>
        <w:t xml:space="preserve">Prinz, Emanuel (2019). </w:t>
      </w:r>
      <w:r w:rsidRPr="6B65F250">
        <w:rPr>
          <w:rFonts w:ascii="Times New Roman" w:eastAsia="Times New Roman" w:hAnsi="Times New Roman" w:cs="Times New Roman"/>
          <w:i/>
          <w:iCs/>
          <w:sz w:val="24"/>
          <w:szCs w:val="24"/>
        </w:rPr>
        <w:t xml:space="preserve">Der </w:t>
      </w:r>
      <w:proofErr w:type="spellStart"/>
      <w:r w:rsidRPr="6B65F250">
        <w:rPr>
          <w:rFonts w:ascii="Times New Roman" w:eastAsia="Times New Roman" w:hAnsi="Times New Roman" w:cs="Times New Roman"/>
          <w:i/>
          <w:iCs/>
          <w:sz w:val="24"/>
          <w:szCs w:val="24"/>
        </w:rPr>
        <w:t>Missionar</w:t>
      </w:r>
      <w:proofErr w:type="spellEnd"/>
      <w:r w:rsidRPr="6B65F250">
        <w:rPr>
          <w:rFonts w:ascii="Times New Roman" w:eastAsia="Times New Roman" w:hAnsi="Times New Roman" w:cs="Times New Roman"/>
          <w:i/>
          <w:iCs/>
          <w:sz w:val="24"/>
          <w:szCs w:val="24"/>
        </w:rPr>
        <w:t xml:space="preserve"> den Gott </w:t>
      </w:r>
      <w:proofErr w:type="spellStart"/>
      <w:r w:rsidRPr="6B65F250">
        <w:rPr>
          <w:rFonts w:ascii="Times New Roman" w:eastAsia="Times New Roman" w:hAnsi="Times New Roman" w:cs="Times New Roman"/>
          <w:i/>
          <w:iCs/>
          <w:sz w:val="24"/>
          <w:szCs w:val="24"/>
        </w:rPr>
        <w:t>zu</w:t>
      </w:r>
      <w:proofErr w:type="spellEnd"/>
      <w:r w:rsidRPr="6B65F250">
        <w:rPr>
          <w:rFonts w:ascii="Times New Roman" w:eastAsia="Times New Roman" w:hAnsi="Times New Roman" w:cs="Times New Roman"/>
          <w:i/>
          <w:iCs/>
          <w:sz w:val="24"/>
          <w:szCs w:val="24"/>
        </w:rPr>
        <w:t xml:space="preserve"> </w:t>
      </w:r>
      <w:proofErr w:type="spellStart"/>
      <w:r w:rsidRPr="6B65F250">
        <w:rPr>
          <w:rFonts w:ascii="Times New Roman" w:eastAsia="Times New Roman" w:hAnsi="Times New Roman" w:cs="Times New Roman"/>
          <w:i/>
          <w:iCs/>
          <w:sz w:val="24"/>
          <w:szCs w:val="24"/>
        </w:rPr>
        <w:t>Großem</w:t>
      </w:r>
      <w:proofErr w:type="spellEnd"/>
      <w:r w:rsidRPr="6B65F250">
        <w:rPr>
          <w:rFonts w:ascii="Times New Roman" w:eastAsia="Times New Roman" w:hAnsi="Times New Roman" w:cs="Times New Roman"/>
          <w:i/>
          <w:iCs/>
          <w:sz w:val="24"/>
          <w:szCs w:val="24"/>
        </w:rPr>
        <w:t xml:space="preserve"> </w:t>
      </w:r>
      <w:proofErr w:type="spellStart"/>
      <w:r w:rsidRPr="6B65F250">
        <w:rPr>
          <w:rFonts w:ascii="Times New Roman" w:eastAsia="Times New Roman" w:hAnsi="Times New Roman" w:cs="Times New Roman"/>
          <w:i/>
          <w:iCs/>
          <w:sz w:val="24"/>
          <w:szCs w:val="24"/>
        </w:rPr>
        <w:t>gebraucht</w:t>
      </w:r>
      <w:proofErr w:type="spellEnd"/>
      <w:r w:rsidRPr="6B65F250">
        <w:rPr>
          <w:rFonts w:ascii="Times New Roman" w:eastAsia="Times New Roman" w:hAnsi="Times New Roman" w:cs="Times New Roman"/>
          <w:sz w:val="24"/>
          <w:szCs w:val="24"/>
        </w:rPr>
        <w:t xml:space="preserve"> (</w:t>
      </w:r>
      <w:r w:rsidRPr="6B65F250">
        <w:rPr>
          <w:rFonts w:ascii="Times New Roman" w:eastAsia="Times New Roman" w:hAnsi="Times New Roman" w:cs="Times New Roman"/>
          <w:i/>
          <w:iCs/>
          <w:sz w:val="24"/>
          <w:szCs w:val="24"/>
        </w:rPr>
        <w:t>The Missionary Whom God Uses for Great Things</w:t>
      </w:r>
      <w:r w:rsidRPr="6B65F250">
        <w:rPr>
          <w:rFonts w:ascii="Times New Roman" w:eastAsia="Times New Roman" w:hAnsi="Times New Roman" w:cs="Times New Roman"/>
          <w:sz w:val="24"/>
          <w:szCs w:val="24"/>
        </w:rPr>
        <w:t>). Nuremberg: VTR</w:t>
      </w:r>
      <w:r w:rsidRPr="6B65F250">
        <w:rPr>
          <w:rFonts w:ascii="Times New Roman" w:eastAsia="Times New Roman" w:hAnsi="Times New Roman" w:cs="Times New Roman"/>
          <w:i/>
          <w:iCs/>
          <w:sz w:val="24"/>
          <w:szCs w:val="24"/>
        </w:rPr>
        <w:t>.</w:t>
      </w:r>
    </w:p>
    <w:p w14:paraId="00000055" w14:textId="4C0D8C66" w:rsidR="00356CC7" w:rsidRDefault="008F3C1E"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color w:val="000000"/>
          <w:sz w:val="24"/>
          <w:szCs w:val="24"/>
        </w:rPr>
      </w:pPr>
      <w:r w:rsidRPr="63DCED76">
        <w:rPr>
          <w:rFonts w:ascii="Times New Roman" w:eastAsia="Times New Roman" w:hAnsi="Times New Roman" w:cs="Times New Roman"/>
          <w:color w:val="000000"/>
          <w:sz w:val="24"/>
          <w:szCs w:val="24"/>
        </w:rPr>
        <w:t xml:space="preserve">_____ </w:t>
      </w:r>
      <w:r w:rsidR="00F77EAF">
        <w:rPr>
          <w:rFonts w:ascii="Times New Roman" w:eastAsia="Times New Roman" w:hAnsi="Times New Roman" w:cs="Times New Roman"/>
          <w:color w:val="000000"/>
          <w:sz w:val="24"/>
          <w:szCs w:val="24"/>
        </w:rPr>
        <w:t>[2022]</w:t>
      </w:r>
      <w:r w:rsidRPr="63DCED76">
        <w:rPr>
          <w:rFonts w:ascii="Times New Roman" w:eastAsia="Times New Roman" w:hAnsi="Times New Roman" w:cs="Times New Roman"/>
          <w:color w:val="000000"/>
          <w:sz w:val="24"/>
          <w:szCs w:val="24"/>
        </w:rPr>
        <w:t>.</w:t>
      </w:r>
      <w:r w:rsidRPr="63DCED76">
        <w:rPr>
          <w:rFonts w:ascii="Times New Roman" w:eastAsia="Times New Roman" w:hAnsi="Times New Roman" w:cs="Times New Roman"/>
          <w:i/>
          <w:iCs/>
          <w:color w:val="000000"/>
          <w:sz w:val="24"/>
          <w:szCs w:val="24"/>
        </w:rPr>
        <w:t xml:space="preserve"> </w:t>
      </w:r>
      <w:r w:rsidRPr="00F77EAF">
        <w:rPr>
          <w:rFonts w:ascii="Times New Roman" w:eastAsia="Times New Roman" w:hAnsi="Times New Roman" w:cs="Times New Roman"/>
          <w:color w:val="000000"/>
          <w:sz w:val="24"/>
          <w:szCs w:val="24"/>
        </w:rPr>
        <w:t>Movement Catalysts: The Profile of the Leaders God Uses to Catalyze Movements.</w:t>
      </w:r>
      <w:r w:rsidRPr="63DCED76">
        <w:rPr>
          <w:rFonts w:ascii="Times New Roman" w:eastAsia="Times New Roman" w:hAnsi="Times New Roman" w:cs="Times New Roman"/>
          <w:color w:val="000000"/>
          <w:sz w:val="24"/>
          <w:szCs w:val="24"/>
        </w:rPr>
        <w:t xml:space="preserve"> </w:t>
      </w:r>
      <w:r w:rsidR="00F77EAF">
        <w:rPr>
          <w:rFonts w:ascii="Times New Roman" w:eastAsia="Times New Roman" w:hAnsi="Times New Roman" w:cs="Times New Roman"/>
          <w:color w:val="000000"/>
          <w:sz w:val="24"/>
          <w:szCs w:val="24"/>
        </w:rPr>
        <w:t>(Forthcoming).</w:t>
      </w:r>
    </w:p>
    <w:p w14:paraId="00000056" w14:textId="460D587B"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Smith, Steve and Kai, Ying (2011). </w:t>
      </w:r>
      <w:r w:rsidRPr="63DCED76">
        <w:rPr>
          <w:rFonts w:ascii="Times New Roman" w:eastAsia="Times New Roman" w:hAnsi="Times New Roman" w:cs="Times New Roman"/>
          <w:i/>
          <w:iCs/>
          <w:sz w:val="24"/>
          <w:szCs w:val="24"/>
        </w:rPr>
        <w:t>T4T: A Discipleship Re-revolution</w:t>
      </w:r>
      <w:r w:rsidRPr="63DCED76">
        <w:rPr>
          <w:rFonts w:ascii="Times New Roman" w:eastAsia="Times New Roman" w:hAnsi="Times New Roman" w:cs="Times New Roman"/>
          <w:sz w:val="24"/>
          <w:szCs w:val="24"/>
        </w:rPr>
        <w:t xml:space="preserve">. Monument: </w:t>
      </w:r>
      <w:proofErr w:type="spellStart"/>
      <w:r w:rsidRPr="63DCED76">
        <w:rPr>
          <w:rFonts w:ascii="Times New Roman" w:eastAsia="Times New Roman" w:hAnsi="Times New Roman" w:cs="Times New Roman"/>
          <w:sz w:val="24"/>
          <w:szCs w:val="24"/>
        </w:rPr>
        <w:t>WIGTake</w:t>
      </w:r>
      <w:proofErr w:type="spellEnd"/>
      <w:r w:rsidRPr="63DCED76">
        <w:rPr>
          <w:rFonts w:ascii="Times New Roman" w:eastAsia="Times New Roman" w:hAnsi="Times New Roman" w:cs="Times New Roman"/>
          <w:sz w:val="24"/>
          <w:szCs w:val="24"/>
        </w:rPr>
        <w:t xml:space="preserve"> Resources.</w:t>
      </w:r>
    </w:p>
    <w:p w14:paraId="00000057" w14:textId="4538BF3F"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Snyder, Jason W. (2010). </w:t>
      </w:r>
      <w:r w:rsidRPr="63DCED76">
        <w:rPr>
          <w:rFonts w:ascii="Times New Roman" w:eastAsia="Times New Roman" w:hAnsi="Times New Roman" w:cs="Times New Roman"/>
          <w:i/>
          <w:iCs/>
          <w:sz w:val="24"/>
          <w:szCs w:val="24"/>
        </w:rPr>
        <w:t>Evangelism and the Sovereignty of God: How God’s Irresistible Grace Compels us to Share</w:t>
      </w:r>
      <w:r w:rsidRPr="63DCED76">
        <w:rPr>
          <w:rFonts w:ascii="Times New Roman" w:eastAsia="Times New Roman" w:hAnsi="Times New Roman" w:cs="Times New Roman"/>
          <w:sz w:val="24"/>
          <w:szCs w:val="24"/>
        </w:rPr>
        <w:t>. Dallas: Dallas Theological Seminary.</w:t>
      </w:r>
    </w:p>
    <w:p w14:paraId="00000058" w14:textId="62613F06"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Stevens, M. (2008). “Focus on next steps…: Lessons from the multi-region </w:t>
      </w:r>
      <w:proofErr w:type="gramStart"/>
      <w:r w:rsidRPr="63DCED76">
        <w:rPr>
          <w:rFonts w:ascii="Times New Roman" w:eastAsia="Times New Roman" w:hAnsi="Times New Roman" w:cs="Times New Roman"/>
          <w:sz w:val="24"/>
          <w:szCs w:val="24"/>
        </w:rPr>
        <w:t>trainers</w:t>
      </w:r>
      <w:proofErr w:type="gramEnd"/>
      <w:r w:rsidRPr="63DCED76">
        <w:rPr>
          <w:rFonts w:ascii="Times New Roman" w:eastAsia="Times New Roman" w:hAnsi="Times New Roman" w:cs="Times New Roman"/>
          <w:sz w:val="24"/>
          <w:szCs w:val="24"/>
        </w:rPr>
        <w:t xml:space="preserve"> forum.” Unpublished paper, Singapore.</w:t>
      </w:r>
    </w:p>
    <w:p w14:paraId="00000059" w14:textId="138029A2"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Trousdale, Jerry (2012). </w:t>
      </w:r>
      <w:r w:rsidRPr="63DCED76">
        <w:rPr>
          <w:rFonts w:ascii="Times New Roman" w:eastAsia="Times New Roman" w:hAnsi="Times New Roman" w:cs="Times New Roman"/>
          <w:i/>
          <w:iCs/>
          <w:sz w:val="24"/>
          <w:szCs w:val="24"/>
        </w:rPr>
        <w:t>Miraculous Movements: How Hundreds of Thousands of Muslims are Falling in Love with Jesus</w:t>
      </w:r>
      <w:r w:rsidRPr="63DCED76">
        <w:rPr>
          <w:rFonts w:ascii="Times New Roman" w:eastAsia="Times New Roman" w:hAnsi="Times New Roman" w:cs="Times New Roman"/>
          <w:sz w:val="24"/>
          <w:szCs w:val="24"/>
        </w:rPr>
        <w:t>. Nashville: Thomas Nelson.</w:t>
      </w:r>
    </w:p>
    <w:p w14:paraId="0000005A" w14:textId="6E64D9BE"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Watson, David and Watson, Paul (2014). </w:t>
      </w:r>
      <w:r w:rsidRPr="63DCED76">
        <w:rPr>
          <w:rFonts w:ascii="Times New Roman" w:eastAsia="Times New Roman" w:hAnsi="Times New Roman" w:cs="Times New Roman"/>
          <w:i/>
          <w:iCs/>
          <w:sz w:val="24"/>
          <w:szCs w:val="24"/>
        </w:rPr>
        <w:t>Contagious Disciple Making: Leading Others on a Journey of Discovery</w:t>
      </w:r>
      <w:r w:rsidRPr="63DCED76">
        <w:rPr>
          <w:rFonts w:ascii="Times New Roman" w:eastAsia="Times New Roman" w:hAnsi="Times New Roman" w:cs="Times New Roman"/>
          <w:sz w:val="24"/>
          <w:szCs w:val="24"/>
        </w:rPr>
        <w:t>. Nashville: Thomas Nelson.</w:t>
      </w:r>
    </w:p>
    <w:p w14:paraId="0000005B" w14:textId="26CE76F4" w:rsidR="00356CC7" w:rsidRDefault="63DCED76" w:rsidP="63DCED76">
      <w:pPr>
        <w:pBdr>
          <w:top w:val="nil"/>
          <w:left w:val="nil"/>
          <w:bottom w:val="nil"/>
          <w:right w:val="nil"/>
          <w:between w:val="nil"/>
        </w:pBdr>
        <w:spacing w:after="160" w:line="240" w:lineRule="auto"/>
        <w:ind w:left="360" w:hanging="360"/>
        <w:jc w:val="both"/>
        <w:rPr>
          <w:rFonts w:ascii="Times New Roman" w:eastAsia="Times New Roman" w:hAnsi="Times New Roman" w:cs="Times New Roman"/>
          <w:sz w:val="24"/>
          <w:szCs w:val="24"/>
        </w:rPr>
      </w:pPr>
      <w:r w:rsidRPr="63DCED76">
        <w:rPr>
          <w:rFonts w:ascii="Times New Roman" w:eastAsia="Times New Roman" w:hAnsi="Times New Roman" w:cs="Times New Roman"/>
          <w:sz w:val="24"/>
          <w:szCs w:val="24"/>
        </w:rPr>
        <w:t xml:space="preserve">Willis, Avery T. (1977). </w:t>
      </w:r>
      <w:r w:rsidRPr="63DCED76">
        <w:rPr>
          <w:rFonts w:ascii="Times New Roman" w:eastAsia="Times New Roman" w:hAnsi="Times New Roman" w:cs="Times New Roman"/>
          <w:i/>
          <w:iCs/>
          <w:sz w:val="24"/>
          <w:szCs w:val="24"/>
        </w:rPr>
        <w:t>Indonesian Revival: Why Two Million Came to Christ</w:t>
      </w:r>
      <w:r w:rsidRPr="63DCED76">
        <w:rPr>
          <w:rFonts w:ascii="Times New Roman" w:eastAsia="Times New Roman" w:hAnsi="Times New Roman" w:cs="Times New Roman"/>
          <w:sz w:val="24"/>
          <w:szCs w:val="24"/>
        </w:rPr>
        <w:t>. South Pasadena: William Carey Library.</w:t>
      </w:r>
    </w:p>
    <w:sectPr w:rsidR="00356CC7" w:rsidSect="00EA362B">
      <w:headerReference w:type="default" r:id="rId11"/>
      <w:footerReference w:type="default" r:id="rId12"/>
      <w:headerReference w:type="first" r:id="rId13"/>
      <w:footerReference w:type="first" r:id="rId14"/>
      <w:pgSz w:w="12240" w:h="15840"/>
      <w:pgMar w:top="1440" w:right="1440" w:bottom="1440" w:left="1440" w:header="720" w:footer="720" w:gutter="0"/>
      <w:pgNumType w:start="6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DCC24" w14:textId="77777777" w:rsidR="002C1034" w:rsidRDefault="002C1034">
      <w:pPr>
        <w:spacing w:after="0" w:line="240" w:lineRule="auto"/>
      </w:pPr>
      <w:r>
        <w:separator/>
      </w:r>
    </w:p>
  </w:endnote>
  <w:endnote w:type="continuationSeparator" w:id="0">
    <w:p w14:paraId="2DFC5EBD" w14:textId="77777777" w:rsidR="002C1034" w:rsidRDefault="002C1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758F" w14:textId="7492C8FF" w:rsidR="63DCED76" w:rsidRDefault="007F433A" w:rsidP="007F433A">
    <w:pPr>
      <w:pStyle w:val="Footer"/>
      <w:jc w:val="center"/>
    </w:pPr>
    <w:r w:rsidRPr="63DCED76">
      <w:rPr>
        <w:rFonts w:ascii="Times New Roman" w:eastAsia="Times New Roman" w:hAnsi="Times New Roman" w:cs="Times New Roman"/>
        <w:i/>
        <w:iCs/>
        <w:color w:val="000000" w:themeColor="text1"/>
        <w:sz w:val="20"/>
        <w:szCs w:val="20"/>
      </w:rPr>
      <w:t>Global Missiology</w:t>
    </w:r>
    <w:r w:rsidRPr="63DCED76">
      <w:rPr>
        <w:rFonts w:ascii="Times New Roman" w:eastAsia="Times New Roman" w:hAnsi="Times New Roman" w:cs="Times New Roman"/>
        <w:color w:val="000000" w:themeColor="text1"/>
        <w:sz w:val="20"/>
        <w:szCs w:val="20"/>
      </w:rPr>
      <w:t xml:space="preserve"> - Vol 19, No 1 (2022)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CC26" w14:textId="569EEF00" w:rsidR="63DCED76" w:rsidRDefault="007F433A" w:rsidP="007F433A">
    <w:pPr>
      <w:pStyle w:val="Footer"/>
      <w:jc w:val="center"/>
    </w:pPr>
    <w:r w:rsidRPr="63DCED76">
      <w:rPr>
        <w:rFonts w:ascii="Times New Roman" w:eastAsia="Times New Roman" w:hAnsi="Times New Roman" w:cs="Times New Roman"/>
        <w:i/>
        <w:iCs/>
        <w:color w:val="000000" w:themeColor="text1"/>
        <w:sz w:val="20"/>
        <w:szCs w:val="20"/>
      </w:rPr>
      <w:t>Global Missiology</w:t>
    </w:r>
    <w:r w:rsidRPr="63DCED76">
      <w:rPr>
        <w:rFonts w:ascii="Times New Roman" w:eastAsia="Times New Roman" w:hAnsi="Times New Roman" w:cs="Times New Roman"/>
        <w:color w:val="000000" w:themeColor="text1"/>
        <w:sz w:val="20"/>
        <w:szCs w:val="20"/>
      </w:rPr>
      <w:t xml:space="preserve"> - Vol 19, No 1 (2022)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1F3C" w14:textId="77777777" w:rsidR="002C1034" w:rsidRDefault="002C1034">
      <w:pPr>
        <w:spacing w:after="0" w:line="240" w:lineRule="auto"/>
      </w:pPr>
      <w:r>
        <w:separator/>
      </w:r>
    </w:p>
  </w:footnote>
  <w:footnote w:type="continuationSeparator" w:id="0">
    <w:p w14:paraId="17DBBA42" w14:textId="77777777" w:rsidR="002C1034" w:rsidRDefault="002C1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6333390"/>
      <w:docPartObj>
        <w:docPartGallery w:val="Page Numbers (Top of Page)"/>
        <w:docPartUnique/>
      </w:docPartObj>
    </w:sdtPr>
    <w:sdtEndPr>
      <w:rPr>
        <w:rFonts w:ascii="Times New Roman" w:hAnsi="Times New Roman" w:cs="Times New Roman"/>
        <w:noProof/>
        <w:sz w:val="20"/>
        <w:szCs w:val="20"/>
      </w:rPr>
    </w:sdtEndPr>
    <w:sdtContent>
      <w:p w14:paraId="51B71167" w14:textId="2768490C" w:rsidR="007F433A" w:rsidRPr="007F433A" w:rsidRDefault="007F433A">
        <w:pPr>
          <w:pStyle w:val="Header"/>
          <w:jc w:val="right"/>
          <w:rPr>
            <w:rFonts w:ascii="Times New Roman" w:hAnsi="Times New Roman" w:cs="Times New Roman"/>
            <w:sz w:val="20"/>
            <w:szCs w:val="20"/>
          </w:rPr>
        </w:pPr>
        <w:r w:rsidRPr="007F433A">
          <w:rPr>
            <w:rFonts w:ascii="Times New Roman" w:hAnsi="Times New Roman" w:cs="Times New Roman"/>
            <w:sz w:val="20"/>
            <w:szCs w:val="20"/>
          </w:rPr>
          <w:fldChar w:fldCharType="begin"/>
        </w:r>
        <w:r w:rsidRPr="007F433A">
          <w:rPr>
            <w:rFonts w:ascii="Times New Roman" w:hAnsi="Times New Roman" w:cs="Times New Roman"/>
            <w:sz w:val="20"/>
            <w:szCs w:val="20"/>
          </w:rPr>
          <w:instrText xml:space="preserve"> PAGE   \* MERGEFORMAT </w:instrText>
        </w:r>
        <w:r w:rsidRPr="007F433A">
          <w:rPr>
            <w:rFonts w:ascii="Times New Roman" w:hAnsi="Times New Roman" w:cs="Times New Roman"/>
            <w:sz w:val="20"/>
            <w:szCs w:val="20"/>
          </w:rPr>
          <w:fldChar w:fldCharType="separate"/>
        </w:r>
        <w:r w:rsidRPr="007F433A">
          <w:rPr>
            <w:rFonts w:ascii="Times New Roman" w:hAnsi="Times New Roman" w:cs="Times New Roman"/>
            <w:noProof/>
            <w:sz w:val="20"/>
            <w:szCs w:val="20"/>
          </w:rPr>
          <w:t>2</w:t>
        </w:r>
        <w:r w:rsidRPr="007F433A">
          <w:rPr>
            <w:rFonts w:ascii="Times New Roman" w:hAnsi="Times New Roman" w:cs="Times New Roman"/>
            <w:noProof/>
            <w:sz w:val="20"/>
            <w:szCs w:val="20"/>
          </w:rPr>
          <w:fldChar w:fldCharType="end"/>
        </w:r>
      </w:p>
    </w:sdtContent>
  </w:sdt>
  <w:p w14:paraId="180726CE" w14:textId="1DBE6118" w:rsidR="63DCED76" w:rsidRDefault="63DCED76" w:rsidP="63DCE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820617"/>
      <w:docPartObj>
        <w:docPartGallery w:val="Page Numbers (Top of Page)"/>
        <w:docPartUnique/>
      </w:docPartObj>
    </w:sdtPr>
    <w:sdtEndPr>
      <w:rPr>
        <w:rFonts w:ascii="Times New Roman" w:hAnsi="Times New Roman" w:cs="Times New Roman"/>
        <w:noProof/>
        <w:sz w:val="20"/>
        <w:szCs w:val="20"/>
      </w:rPr>
    </w:sdtEndPr>
    <w:sdtContent>
      <w:p w14:paraId="0C593BE1" w14:textId="6D0B8F5D" w:rsidR="00362B82" w:rsidRPr="00362B82" w:rsidRDefault="002C1034">
        <w:pPr>
          <w:pStyle w:val="Header"/>
          <w:jc w:val="right"/>
          <w:rPr>
            <w:rFonts w:ascii="Times New Roman" w:hAnsi="Times New Roman" w:cs="Times New Roman"/>
            <w:sz w:val="20"/>
            <w:szCs w:val="20"/>
          </w:rPr>
        </w:pPr>
      </w:p>
    </w:sdtContent>
  </w:sdt>
  <w:p w14:paraId="3B2F888D" w14:textId="0D648EA8" w:rsidR="63DCED76" w:rsidRDefault="63DCED76" w:rsidP="63DCED76">
    <w:pPr>
      <w:pStyle w:val="Header"/>
    </w:pPr>
  </w:p>
</w:hdr>
</file>

<file path=word/intelligence.xml><?xml version="1.0" encoding="utf-8"?>
<int:Intelligence xmlns:int="http://schemas.microsoft.com/office/intelligence/2019/intelligence">
  <int:IntelligenceSettings/>
  <int:Manifest>
    <int:ParagraphRange paragraphId="1" textId="2004318071" start="0" length="68" invalidationStart="0" invalidationLength="68" id="KehVmbS0"/>
  </int:Manifest>
  <int:Observations>
    <int:Content id="KehVmbS0">
      <int:Reviewed type="WordDesignerSuggestedImageAnnotation"/>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DCED76"/>
    <w:rsid w:val="00047464"/>
    <w:rsid w:val="0012159D"/>
    <w:rsid w:val="00163A45"/>
    <w:rsid w:val="00213692"/>
    <w:rsid w:val="002C1034"/>
    <w:rsid w:val="00356CC7"/>
    <w:rsid w:val="00362B82"/>
    <w:rsid w:val="003A1C4D"/>
    <w:rsid w:val="003B6D38"/>
    <w:rsid w:val="00624BF4"/>
    <w:rsid w:val="007F433A"/>
    <w:rsid w:val="008F3C1E"/>
    <w:rsid w:val="009A25A4"/>
    <w:rsid w:val="009E3D22"/>
    <w:rsid w:val="00A037C2"/>
    <w:rsid w:val="00B66E6F"/>
    <w:rsid w:val="00B877DC"/>
    <w:rsid w:val="00BA51F3"/>
    <w:rsid w:val="00CC30BC"/>
    <w:rsid w:val="00DE7AF7"/>
    <w:rsid w:val="00EA362B"/>
    <w:rsid w:val="00ED3101"/>
    <w:rsid w:val="00EF2234"/>
    <w:rsid w:val="00F77EAF"/>
    <w:rsid w:val="00F92AF7"/>
    <w:rsid w:val="50740BA8"/>
    <w:rsid w:val="53CE7795"/>
    <w:rsid w:val="63DCED76"/>
    <w:rsid w:val="6B65F250"/>
    <w:rsid w:val="72B69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01F23"/>
  <w15:docId w15:val="{236E4E5B-47BD-4CE8-9ABB-7E0066B0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240" w:after="0"/>
      <w:outlineLvl w:val="0"/>
    </w:pPr>
    <w:rPr>
      <w:color w:val="2E74B5"/>
      <w:sz w:val="32"/>
      <w:szCs w:val="32"/>
    </w:rPr>
  </w:style>
  <w:style w:type="paragraph" w:styleId="Heading2">
    <w:name w:val="heading 2"/>
    <w:basedOn w:val="Normal"/>
    <w:next w:val="Normal"/>
    <w:pPr>
      <w:keepNext/>
      <w:keepLines/>
      <w:pBdr>
        <w:top w:val="nil"/>
        <w:left w:val="nil"/>
        <w:bottom w:val="nil"/>
        <w:right w:val="nil"/>
        <w:between w:val="nil"/>
      </w:pBdr>
      <w:spacing w:before="40" w:after="0"/>
      <w:outlineLvl w:val="1"/>
    </w:pPr>
    <w:rPr>
      <w:color w:val="2E74B5"/>
      <w:sz w:val="26"/>
      <w:szCs w:val="26"/>
    </w:rPr>
  </w:style>
  <w:style w:type="paragraph" w:styleId="Heading3">
    <w:name w:val="heading 3"/>
    <w:basedOn w:val="Normal"/>
    <w:next w:val="Normal"/>
    <w:pPr>
      <w:keepNext/>
      <w:keepLines/>
      <w:pBdr>
        <w:top w:val="nil"/>
        <w:left w:val="nil"/>
        <w:bottom w:val="nil"/>
        <w:right w:val="nil"/>
        <w:between w:val="nil"/>
      </w:pBdr>
      <w:spacing w:after="0"/>
      <w:jc w:val="right"/>
      <w:outlineLvl w:val="2"/>
    </w:pPr>
    <w:rPr>
      <w:rFonts w:ascii="Times New Roman" w:eastAsia="Times New Roman" w:hAnsi="Times New Roman" w:cs="Times New Roman"/>
      <w:b/>
      <w:sz w:val="28"/>
      <w:szCs w:val="28"/>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pPr>
      <w:keepNext/>
      <w:keepLines/>
      <w:pBdr>
        <w:top w:val="nil"/>
        <w:left w:val="nil"/>
        <w:bottom w:val="nil"/>
        <w:right w:val="nil"/>
        <w:between w:val="nil"/>
      </w:pBdr>
      <w:spacing w:before="40" w:after="0"/>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pPr>
      <w:pBdr>
        <w:top w:val="nil"/>
        <w:left w:val="nil"/>
        <w:bottom w:val="nil"/>
        <w:right w:val="nil"/>
        <w:between w:val="nil"/>
      </w:pBdr>
      <w:spacing w:after="60"/>
      <w:jc w:val="center"/>
    </w:pPr>
    <w:rPr>
      <w:rFonts w:ascii="Arial" w:eastAsia="Arial" w:hAnsi="Arial" w:cs="Arial"/>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7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46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877DC"/>
    <w:rPr>
      <w:b/>
      <w:bCs/>
    </w:rPr>
  </w:style>
  <w:style w:type="character" w:customStyle="1" w:styleId="CommentSubjectChar">
    <w:name w:val="Comment Subject Char"/>
    <w:basedOn w:val="CommentTextChar"/>
    <w:link w:val="CommentSubject"/>
    <w:uiPriority w:val="99"/>
    <w:semiHidden/>
    <w:rsid w:val="00B877DC"/>
    <w:rPr>
      <w:b/>
      <w:bCs/>
      <w:sz w:val="20"/>
      <w:szCs w:val="20"/>
    </w:rPr>
  </w:style>
  <w:style w:type="paragraph" w:styleId="Revision">
    <w:name w:val="Revision"/>
    <w:hidden/>
    <w:uiPriority w:val="99"/>
    <w:semiHidden/>
    <w:rsid w:val="00F77EAF"/>
    <w:pPr>
      <w:spacing w:after="0" w:line="240" w:lineRule="auto"/>
    </w:pPr>
  </w:style>
  <w:style w:type="character" w:styleId="UnresolvedMention">
    <w:name w:val="Unresolved Mention"/>
    <w:basedOn w:val="DefaultParagraphFont"/>
    <w:uiPriority w:val="99"/>
    <w:semiHidden/>
    <w:unhideWhenUsed/>
    <w:rsid w:val="00F77E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ef70b33cc6784d0a" Type="http://schemas.microsoft.com/office/2019/09/relationships/intelligence" Target="intelligenc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globalmissiology.org/"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missionfrontiers.org/issue/article/are-we-accelerating-or-inhibiting-movements-to-christ" TargetMode="External"/><Relationship Id="rId4" Type="http://schemas.openxmlformats.org/officeDocument/2006/relationships/footnotes" Target="footnotes.xml"/><Relationship Id="rId9" Type="http://schemas.openxmlformats.org/officeDocument/2006/relationships/image" Target="media/image3.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 C</dc:creator>
  <cp:lastModifiedBy>Kathy Jennings</cp:lastModifiedBy>
  <cp:revision>8</cp:revision>
  <dcterms:created xsi:type="dcterms:W3CDTF">2022-01-27T20:29:00Z</dcterms:created>
  <dcterms:modified xsi:type="dcterms:W3CDTF">2022-01-31T12:05:00Z</dcterms:modified>
</cp:coreProperties>
</file>