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28A9" w14:textId="4B99502F" w:rsidR="00D85455" w:rsidRPr="00923437" w:rsidRDefault="00743BA8" w:rsidP="00D85455">
      <w:pPr>
        <w:pStyle w:val="NoSpacing"/>
        <w:jc w:val="both"/>
        <w:rPr>
          <w:rStyle w:val="jlqj4b"/>
          <w:rFonts w:ascii="Cambria" w:hAnsi="Cambria"/>
          <w:b/>
          <w:bCs/>
        </w:rPr>
      </w:pPr>
      <w:r w:rsidRPr="00923437">
        <w:rPr>
          <w:rStyle w:val="jlqj4b"/>
          <w:rFonts w:ascii="Cambria" w:hAnsi="Cambria"/>
          <w:b/>
          <w:bCs/>
        </w:rPr>
        <w:t xml:space="preserve">Effects of Early Warning Score (EWS) on </w:t>
      </w:r>
      <w:r w:rsidR="007A3E51" w:rsidRPr="00923437">
        <w:rPr>
          <w:rStyle w:val="q4iawc"/>
          <w:rFonts w:ascii="Cambria" w:hAnsi="Cambria"/>
          <w:b/>
          <w:bCs/>
        </w:rPr>
        <w:t>outcomes</w:t>
      </w:r>
      <w:r w:rsidRPr="00923437">
        <w:rPr>
          <w:rStyle w:val="q4iawc"/>
          <w:rFonts w:ascii="Cambria" w:hAnsi="Cambria"/>
          <w:b/>
          <w:bCs/>
        </w:rPr>
        <w:t xml:space="preserve"> of inpatient services</w:t>
      </w:r>
    </w:p>
    <w:p w14:paraId="1123ABA5" w14:textId="77777777" w:rsidR="00D85455" w:rsidRPr="00923437" w:rsidRDefault="00D85455" w:rsidP="00D85455">
      <w:pPr>
        <w:pStyle w:val="NoSpacing"/>
        <w:jc w:val="both"/>
        <w:rPr>
          <w:rStyle w:val="jlqj4b"/>
          <w:rFonts w:ascii="Cambria" w:hAnsi="Cambria"/>
        </w:rPr>
      </w:pPr>
    </w:p>
    <w:p w14:paraId="207CA106" w14:textId="4A3FB385" w:rsidR="00D85455" w:rsidRPr="00923437" w:rsidRDefault="00743BA8" w:rsidP="00743BA8">
      <w:pPr>
        <w:spacing w:after="100" w:afterAutospacing="1" w:line="240" w:lineRule="auto"/>
        <w:jc w:val="both"/>
        <w:rPr>
          <w:rFonts w:ascii="Cambria" w:hAnsi="Cambria"/>
          <w:b/>
          <w:szCs w:val="24"/>
          <w:vertAlign w:val="superscript"/>
        </w:rPr>
      </w:pPr>
      <w:r w:rsidRPr="00923437">
        <w:rPr>
          <w:rFonts w:ascii="Cambria" w:hAnsi="Cambria"/>
          <w:b/>
          <w:szCs w:val="24"/>
        </w:rPr>
        <w:t>Teguh Theryana Bobonera</w:t>
      </w:r>
      <w:r w:rsidR="00D85455" w:rsidRPr="00923437">
        <w:rPr>
          <w:rFonts w:ascii="Cambria" w:hAnsi="Cambria"/>
          <w:b/>
          <w:szCs w:val="24"/>
          <w:vertAlign w:val="superscript"/>
        </w:rPr>
        <w:t xml:space="preserve">1 </w:t>
      </w:r>
      <w:r w:rsidR="00D85455" w:rsidRPr="00923437">
        <w:rPr>
          <w:rFonts w:ascii="Cambria" w:hAnsi="Cambria"/>
          <w:b/>
          <w:szCs w:val="24"/>
        </w:rPr>
        <w:t xml:space="preserve">, </w:t>
      </w:r>
      <w:r w:rsidRPr="00923437">
        <w:rPr>
          <w:rFonts w:ascii="Cambria" w:hAnsi="Cambria"/>
          <w:b/>
          <w:szCs w:val="24"/>
        </w:rPr>
        <w:t>Vivi Yosafianti Pohan</w:t>
      </w:r>
      <w:r w:rsidR="00D85455" w:rsidRPr="00923437">
        <w:rPr>
          <w:rFonts w:ascii="Cambria" w:hAnsi="Cambria"/>
          <w:b/>
          <w:szCs w:val="24"/>
          <w:vertAlign w:val="superscript"/>
        </w:rPr>
        <w:t>1</w:t>
      </w:r>
      <w:r w:rsidRPr="00923437">
        <w:rPr>
          <w:rFonts w:ascii="Cambria" w:hAnsi="Cambria"/>
          <w:b/>
          <w:szCs w:val="24"/>
        </w:rPr>
        <w:t>, Mohammad Fatkhul Mubin</w:t>
      </w:r>
      <w:r w:rsidRPr="00923437">
        <w:rPr>
          <w:rFonts w:ascii="Cambria" w:hAnsi="Cambria"/>
          <w:b/>
          <w:szCs w:val="24"/>
          <w:vertAlign w:val="superscript"/>
        </w:rPr>
        <w:t>1</w:t>
      </w:r>
      <w:r w:rsidRPr="00923437">
        <w:rPr>
          <w:rFonts w:ascii="Cambria" w:hAnsi="Cambria"/>
          <w:b/>
          <w:szCs w:val="24"/>
        </w:rPr>
        <w:t>, Yunie Armiyati</w:t>
      </w:r>
      <w:r w:rsidRPr="00923437">
        <w:rPr>
          <w:rFonts w:ascii="Cambria" w:hAnsi="Cambria"/>
          <w:b/>
          <w:szCs w:val="24"/>
          <w:vertAlign w:val="superscript"/>
        </w:rPr>
        <w:t>1</w:t>
      </w:r>
    </w:p>
    <w:p w14:paraId="683A32FA" w14:textId="480EA5B4" w:rsidR="00D85455" w:rsidRPr="00923437" w:rsidRDefault="00D85455" w:rsidP="00743BA8">
      <w:pPr>
        <w:spacing w:line="240" w:lineRule="auto"/>
        <w:ind w:left="98" w:hanging="98"/>
        <w:jc w:val="both"/>
        <w:rPr>
          <w:rFonts w:ascii="Cambria" w:hAnsi="Cambria"/>
          <w:sz w:val="20"/>
          <w:szCs w:val="20"/>
        </w:rPr>
      </w:pPr>
      <w:r w:rsidRPr="00923437">
        <w:rPr>
          <w:rFonts w:ascii="Cambria" w:hAnsi="Cambria"/>
          <w:sz w:val="20"/>
          <w:szCs w:val="20"/>
          <w:vertAlign w:val="superscript"/>
        </w:rPr>
        <w:t xml:space="preserve">1 </w:t>
      </w:r>
      <w:r w:rsidR="00743BA8" w:rsidRPr="00923437">
        <w:rPr>
          <w:rFonts w:ascii="Cambria" w:hAnsi="Cambria"/>
          <w:sz w:val="20"/>
          <w:szCs w:val="20"/>
        </w:rPr>
        <w:t>Nursing Departmen</w:t>
      </w:r>
      <w:r w:rsidRPr="00923437">
        <w:rPr>
          <w:rFonts w:ascii="Cambria" w:hAnsi="Cambria"/>
          <w:sz w:val="20"/>
          <w:szCs w:val="20"/>
        </w:rPr>
        <w:t>,</w:t>
      </w:r>
      <w:r w:rsidR="00743BA8" w:rsidRPr="00923437">
        <w:rPr>
          <w:rFonts w:ascii="Cambria" w:hAnsi="Cambria"/>
          <w:sz w:val="20"/>
          <w:szCs w:val="20"/>
        </w:rPr>
        <w:t xml:space="preserve"> Faculty of Nursing and Health Sciences,</w:t>
      </w:r>
      <w:r w:rsidRPr="00923437">
        <w:rPr>
          <w:rFonts w:ascii="Cambria" w:hAnsi="Cambria"/>
          <w:sz w:val="20"/>
          <w:szCs w:val="20"/>
        </w:rPr>
        <w:t xml:space="preserve"> Universitas Muhammadiyah   Semarang </w:t>
      </w:r>
    </w:p>
    <w:p w14:paraId="1BC28BD2" w14:textId="77777777" w:rsidR="00D85455" w:rsidRPr="00923437" w:rsidRDefault="00D85455" w:rsidP="00D85455">
      <w:pPr>
        <w:spacing w:line="240" w:lineRule="auto"/>
        <w:rPr>
          <w:rFonts w:ascii="Cambria" w:hAnsi="Cambria"/>
          <w:sz w:val="20"/>
          <w:szCs w:val="20"/>
        </w:rPr>
      </w:pPr>
      <w:r w:rsidRPr="00923437">
        <w:rPr>
          <w:rFonts w:ascii="Cambria" w:hAnsi="Cambria"/>
          <w:noProof/>
        </w:rPr>
        <mc:AlternateContent>
          <mc:Choice Requires="wps">
            <w:drawing>
              <wp:anchor distT="4294967295" distB="4294967295" distL="114300" distR="114300" simplePos="0" relativeHeight="251659264" behindDoc="0" locked="0" layoutInCell="1" allowOverlap="1" wp14:anchorId="6365E929" wp14:editId="57AEBF4E">
                <wp:simplePos x="0" y="0"/>
                <wp:positionH relativeFrom="column">
                  <wp:posOffset>-213360</wp:posOffset>
                </wp:positionH>
                <wp:positionV relativeFrom="paragraph">
                  <wp:posOffset>215900</wp:posOffset>
                </wp:positionV>
                <wp:extent cx="5819775" cy="0"/>
                <wp:effectExtent l="38100" t="38100" r="6667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58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54482D5C"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8pt,17pt" to="441.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" strokecolor="windowText" strokeweight="1.25pt">
                <v:shadow on="t" color="black" opacity="24903f" origin=",.5" offset="0,.55556mm"/>
                <o:lock v:ext="edit" shapetype="f"/>
              </v:line>
            </w:pict>
          </mc:Fallback>
        </mc:AlternateContent>
      </w:r>
    </w:p>
    <w:tbl>
      <w:tblPr>
        <w:tblpPr w:leftFromText="180" w:rightFromText="180" w:vertAnchor="text" w:horzAnchor="margin" w:tblpXSpec="center" w:tblpY="89"/>
        <w:tblW w:w="9213" w:type="dxa"/>
        <w:tblLook w:val="04A0" w:firstRow="1" w:lastRow="0" w:firstColumn="1" w:lastColumn="0" w:noHBand="0" w:noVBand="1"/>
      </w:tblPr>
      <w:tblGrid>
        <w:gridCol w:w="2268"/>
        <w:gridCol w:w="283"/>
        <w:gridCol w:w="6662"/>
      </w:tblGrid>
      <w:tr w:rsidR="00923437" w:rsidRPr="00923437" w14:paraId="78F5192B" w14:textId="77777777" w:rsidTr="00CA6EC0">
        <w:trPr>
          <w:trHeight w:val="415"/>
        </w:trPr>
        <w:tc>
          <w:tcPr>
            <w:tcW w:w="2268" w:type="dxa"/>
            <w:tcBorders>
              <w:bottom w:val="single" w:sz="4" w:space="0" w:color="auto"/>
            </w:tcBorders>
            <w:shd w:val="clear" w:color="auto" w:fill="auto"/>
          </w:tcPr>
          <w:p w14:paraId="117AB974" w14:textId="77777777" w:rsidR="00D85455" w:rsidRPr="00923437" w:rsidRDefault="00D85455" w:rsidP="00CA6EC0">
            <w:pPr>
              <w:spacing w:line="240" w:lineRule="auto"/>
              <w:jc w:val="center"/>
              <w:rPr>
                <w:rFonts w:ascii="Cambria" w:hAnsi="Cambria" w:cs="Arial"/>
                <w:b/>
                <w:sz w:val="20"/>
                <w:szCs w:val="24"/>
              </w:rPr>
            </w:pPr>
            <w:r w:rsidRPr="00923437">
              <w:rPr>
                <w:rFonts w:ascii="Cambria" w:hAnsi="Cambria" w:cs="Arial"/>
                <w:b/>
                <w:bCs/>
                <w:szCs w:val="24"/>
              </w:rPr>
              <w:t>Article Info</w:t>
            </w:r>
          </w:p>
        </w:tc>
        <w:tc>
          <w:tcPr>
            <w:tcW w:w="283" w:type="dxa"/>
            <w:shd w:val="clear" w:color="auto" w:fill="auto"/>
          </w:tcPr>
          <w:p w14:paraId="2C295987" w14:textId="77777777" w:rsidR="00D85455" w:rsidRPr="00923437" w:rsidRDefault="00D85455" w:rsidP="00CA6EC0">
            <w:pPr>
              <w:spacing w:after="100" w:afterAutospacing="1" w:line="240" w:lineRule="auto"/>
              <w:jc w:val="both"/>
              <w:rPr>
                <w:rFonts w:ascii="Cambria" w:hAnsi="Cambria" w:cs="Arial"/>
                <w:sz w:val="20"/>
                <w:szCs w:val="24"/>
              </w:rPr>
            </w:pPr>
          </w:p>
        </w:tc>
        <w:tc>
          <w:tcPr>
            <w:tcW w:w="6662" w:type="dxa"/>
            <w:tcBorders>
              <w:bottom w:val="single" w:sz="4" w:space="0" w:color="auto"/>
            </w:tcBorders>
            <w:shd w:val="clear" w:color="auto" w:fill="auto"/>
          </w:tcPr>
          <w:p w14:paraId="495C6756" w14:textId="77777777" w:rsidR="00D85455" w:rsidRPr="00923437" w:rsidRDefault="00D85455" w:rsidP="00CA6EC0">
            <w:pPr>
              <w:spacing w:after="100" w:afterAutospacing="1" w:line="240" w:lineRule="auto"/>
              <w:jc w:val="center"/>
              <w:rPr>
                <w:rFonts w:ascii="Cambria" w:hAnsi="Cambria" w:cs="Arial"/>
                <w:sz w:val="20"/>
                <w:szCs w:val="24"/>
              </w:rPr>
            </w:pPr>
            <w:r w:rsidRPr="00923437">
              <w:rPr>
                <w:rFonts w:ascii="Cambria" w:hAnsi="Cambria" w:cs="Arial"/>
                <w:b/>
                <w:bCs/>
                <w:szCs w:val="24"/>
              </w:rPr>
              <w:t>Abstract</w:t>
            </w:r>
          </w:p>
        </w:tc>
      </w:tr>
      <w:tr w:rsidR="00923437" w:rsidRPr="00923437" w14:paraId="298ED967" w14:textId="77777777" w:rsidTr="00CA6EC0">
        <w:tc>
          <w:tcPr>
            <w:tcW w:w="2268" w:type="dxa"/>
            <w:tcBorders>
              <w:top w:val="single" w:sz="4" w:space="0" w:color="auto"/>
              <w:bottom w:val="single" w:sz="4" w:space="0" w:color="auto"/>
            </w:tcBorders>
            <w:shd w:val="clear" w:color="auto" w:fill="auto"/>
          </w:tcPr>
          <w:p w14:paraId="6DD37909" w14:textId="77777777" w:rsidR="00D85455" w:rsidRPr="00923437" w:rsidRDefault="00D85455" w:rsidP="00CA6EC0">
            <w:pPr>
              <w:spacing w:line="240" w:lineRule="auto"/>
              <w:rPr>
                <w:rFonts w:ascii="Cambria" w:hAnsi="Cambria" w:cs="Arial"/>
                <w:b/>
                <w:szCs w:val="24"/>
              </w:rPr>
            </w:pPr>
            <w:r w:rsidRPr="00923437">
              <w:rPr>
                <w:rFonts w:ascii="Cambria" w:hAnsi="Cambria" w:cs="Arial"/>
                <w:b/>
                <w:szCs w:val="24"/>
              </w:rPr>
              <w:t>Article History:</w:t>
            </w:r>
          </w:p>
          <w:p w14:paraId="64D73631" w14:textId="77777777" w:rsidR="00D85455" w:rsidRPr="00923437" w:rsidRDefault="00D85455" w:rsidP="00CA6EC0">
            <w:pPr>
              <w:spacing w:line="240" w:lineRule="auto"/>
              <w:jc w:val="both"/>
              <w:rPr>
                <w:rFonts w:ascii="Cambria" w:hAnsi="Cambria" w:cs="Arial"/>
                <w:szCs w:val="24"/>
              </w:rPr>
            </w:pPr>
          </w:p>
          <w:p w14:paraId="2F46F39B" w14:textId="77777777" w:rsidR="00D85455" w:rsidRPr="00923437" w:rsidRDefault="00D85455" w:rsidP="00CA6EC0">
            <w:pPr>
              <w:spacing w:line="240" w:lineRule="auto"/>
              <w:jc w:val="both"/>
              <w:rPr>
                <w:rFonts w:ascii="Cambria" w:hAnsi="Cambria" w:cs="Arial"/>
                <w:szCs w:val="24"/>
              </w:rPr>
            </w:pPr>
          </w:p>
          <w:p w14:paraId="4FFC5A2C" w14:textId="77777777" w:rsidR="00D85455" w:rsidRPr="00923437" w:rsidRDefault="00D85455" w:rsidP="00CA6EC0">
            <w:pPr>
              <w:spacing w:line="240" w:lineRule="auto"/>
              <w:rPr>
                <w:rFonts w:ascii="Cambria" w:hAnsi="Cambria" w:cs="Arial"/>
                <w:b/>
                <w:szCs w:val="24"/>
              </w:rPr>
            </w:pPr>
            <w:r w:rsidRPr="00923437">
              <w:rPr>
                <w:rFonts w:ascii="Cambria" w:hAnsi="Cambria" w:cs="Arial"/>
                <w:b/>
                <w:szCs w:val="24"/>
              </w:rPr>
              <w:t xml:space="preserve">Key words : </w:t>
            </w:r>
          </w:p>
          <w:p w14:paraId="1F1C3429" w14:textId="13FCC328" w:rsidR="00D85455" w:rsidRPr="00923437" w:rsidRDefault="00743BA8" w:rsidP="00CA6EC0">
            <w:pPr>
              <w:spacing w:line="240" w:lineRule="auto"/>
              <w:jc w:val="both"/>
              <w:rPr>
                <w:rFonts w:ascii="Cambria" w:hAnsi="Cambria"/>
                <w:bCs/>
                <w:szCs w:val="24"/>
              </w:rPr>
            </w:pPr>
            <w:r w:rsidRPr="00923437">
              <w:rPr>
                <w:rFonts w:ascii="Cambria" w:hAnsi="Cambria"/>
                <w:b/>
                <w:bCs/>
                <w:szCs w:val="24"/>
              </w:rPr>
              <w:t xml:space="preserve">Early warning score, </w:t>
            </w:r>
            <w:r w:rsidR="007A3E51" w:rsidRPr="00923437">
              <w:rPr>
                <w:rFonts w:ascii="Cambria" w:hAnsi="Cambria"/>
                <w:b/>
                <w:bCs/>
                <w:szCs w:val="24"/>
              </w:rPr>
              <w:t>o</w:t>
            </w:r>
            <w:r w:rsidR="007A3E51" w:rsidRPr="00923437">
              <w:rPr>
                <w:b/>
                <w:bCs/>
                <w:szCs w:val="24"/>
              </w:rPr>
              <w:t>utcomes</w:t>
            </w:r>
            <w:r w:rsidRPr="00923437">
              <w:rPr>
                <w:rFonts w:ascii="Cambria" w:hAnsi="Cambria"/>
                <w:b/>
                <w:bCs/>
                <w:szCs w:val="24"/>
              </w:rPr>
              <w:t xml:space="preserve"> of inpatient services</w:t>
            </w:r>
          </w:p>
        </w:tc>
        <w:tc>
          <w:tcPr>
            <w:tcW w:w="283" w:type="dxa"/>
            <w:shd w:val="clear" w:color="auto" w:fill="auto"/>
          </w:tcPr>
          <w:p w14:paraId="1809CB22" w14:textId="77777777" w:rsidR="00D85455" w:rsidRPr="00923437" w:rsidRDefault="00D85455" w:rsidP="00CA6EC0">
            <w:pPr>
              <w:spacing w:after="100" w:afterAutospacing="1" w:line="240" w:lineRule="auto"/>
              <w:jc w:val="both"/>
              <w:rPr>
                <w:rFonts w:ascii="Cambria" w:hAnsi="Cambria" w:cs="Arial"/>
                <w:szCs w:val="24"/>
              </w:rPr>
            </w:pPr>
          </w:p>
        </w:tc>
        <w:tc>
          <w:tcPr>
            <w:tcW w:w="6662" w:type="dxa"/>
            <w:tcBorders>
              <w:top w:val="single" w:sz="4" w:space="0" w:color="auto"/>
              <w:bottom w:val="single" w:sz="4" w:space="0" w:color="auto"/>
            </w:tcBorders>
            <w:shd w:val="clear" w:color="auto" w:fill="auto"/>
          </w:tcPr>
          <w:p w14:paraId="75FE6767" w14:textId="16998220" w:rsidR="000F3245" w:rsidRPr="00923437" w:rsidRDefault="000F3245" w:rsidP="000F3245">
            <w:pPr>
              <w:spacing w:line="240" w:lineRule="auto"/>
              <w:jc w:val="both"/>
            </w:pPr>
            <w:r w:rsidRPr="00923437">
              <w:rPr>
                <w:rStyle w:val="q4iawc"/>
                <w:rFonts w:ascii="Cambria" w:hAnsi="Cambria"/>
              </w:rPr>
              <w:t xml:space="preserve">The decrease in patient morbidity and mortality is influenced by quality inpatient services. Hospitalized patients can be in stable or unstable conditions. There is a phenomenon of patients whose condition is not stable being placed in inpatient, due to the limitations of the intensive care unit. These patients are at risk for worsening clinical conditions that increase morbidity and mortality. One of the efforts to improve quality related to patient safety in hospitals is the application of the Early Warning Score (EWS) including in inpatient installations. An early warning score is one of the assessment parameters in hospital accreditation and quality of care.  The aim of this literature review is to explain </w:t>
            </w:r>
            <w:r w:rsidRPr="00923437">
              <w:rPr>
                <w:rStyle w:val="jlqj4b"/>
                <w:rFonts w:ascii="Cambria" w:hAnsi="Cambria"/>
              </w:rPr>
              <w:t>effects of early warning score (</w:t>
            </w:r>
            <w:r w:rsidR="00291184">
              <w:rPr>
                <w:rStyle w:val="jlqj4b"/>
                <w:rFonts w:ascii="Cambria" w:hAnsi="Cambria"/>
                <w:lang w:val="en-US"/>
              </w:rPr>
              <w:t>EWS</w:t>
            </w:r>
            <w:r w:rsidRPr="00923437">
              <w:rPr>
                <w:rStyle w:val="jlqj4b"/>
                <w:rFonts w:ascii="Cambria" w:hAnsi="Cambria"/>
              </w:rPr>
              <w:t xml:space="preserve">) on </w:t>
            </w:r>
            <w:r w:rsidRPr="00923437">
              <w:rPr>
                <w:rStyle w:val="q4iawc"/>
                <w:rFonts w:ascii="Cambria" w:hAnsi="Cambria"/>
              </w:rPr>
              <w:t>outcomes of inpatient services.</w:t>
            </w:r>
            <w:r w:rsidRPr="00923437">
              <w:rPr>
                <w:rStyle w:val="q4iawc"/>
                <w:rFonts w:ascii="Cambria" w:hAnsi="Cambria"/>
                <w:szCs w:val="24"/>
              </w:rPr>
              <w:t xml:space="preserve"> This study uses a literature study approach with a descriptive review type. The articles used are international with a range of years from 2011-2021. The databases used are Proquest, PubMed, and the Google Scholar search engine. </w:t>
            </w:r>
            <w:r w:rsidRPr="00923437">
              <w:rPr>
                <w:rStyle w:val="q4iawc"/>
                <w:rFonts w:ascii="Cambria" w:hAnsi="Cambria"/>
              </w:rPr>
              <w:t>Implementation of EWS has resulted in higher utilization of the rapid response system but a lower incidence of cardiopulmonary arrest; it is associated with lower mortality rates, and improved patient safety and clinical outcomes. The results obtained that there is a correlation between the EWS value with mortality but not with the length of stay. Research results related to the correlation of EWS with referrals to ICU/HCU and activation of code blue cannot be analyzed so that in the future a larger number of samples and case variations are needed. A clinical flow can be created in advance so that good patient management can be carried out if the EWS score is higher. An early Warning Score (EWS) can be used to predict the patient outcome which is an indicator of inpatient services.</w:t>
            </w:r>
          </w:p>
          <w:p w14:paraId="279C12ED" w14:textId="3BD1CB69" w:rsidR="00D85455" w:rsidRPr="00923437" w:rsidRDefault="00D85455" w:rsidP="000F3245">
            <w:pPr>
              <w:spacing w:line="240" w:lineRule="auto"/>
              <w:jc w:val="both"/>
              <w:rPr>
                <w:rFonts w:ascii="Cambria" w:hAnsi="Cambria"/>
                <w:b/>
                <w:bCs/>
                <w:szCs w:val="24"/>
              </w:rPr>
            </w:pPr>
          </w:p>
        </w:tc>
      </w:tr>
    </w:tbl>
    <w:p w14:paraId="55FB9053" w14:textId="77777777" w:rsidR="00444A13" w:rsidRPr="00923437" w:rsidRDefault="00444A13" w:rsidP="00D85455">
      <w:pPr>
        <w:tabs>
          <w:tab w:val="left" w:pos="2694"/>
        </w:tabs>
        <w:spacing w:line="240" w:lineRule="auto"/>
        <w:rPr>
          <w:rFonts w:ascii="Cambria" w:hAnsi="Cambria" w:cs="Arial"/>
          <w:b/>
        </w:rPr>
      </w:pPr>
    </w:p>
    <w:p w14:paraId="22F89986" w14:textId="777B7319" w:rsidR="00D85455" w:rsidRPr="00923437" w:rsidRDefault="00D85455" w:rsidP="00D85455">
      <w:pPr>
        <w:tabs>
          <w:tab w:val="left" w:pos="2694"/>
        </w:tabs>
        <w:spacing w:line="240" w:lineRule="auto"/>
        <w:rPr>
          <w:rFonts w:ascii="Cambria" w:hAnsi="Cambria" w:cs="Arial"/>
          <w:b/>
        </w:rPr>
      </w:pPr>
      <w:r w:rsidRPr="00923437">
        <w:rPr>
          <w:rFonts w:ascii="Cambria" w:hAnsi="Cambria" w:cs="Arial"/>
          <w:b/>
        </w:rPr>
        <w:t>Corresponding author</w:t>
      </w:r>
      <w:r w:rsidRPr="00923437">
        <w:rPr>
          <w:rFonts w:ascii="Cambria" w:hAnsi="Cambria" w:cs="Arial"/>
          <w:b/>
        </w:rPr>
        <w:tab/>
        <w:t xml:space="preserve">: </w:t>
      </w:r>
      <w:r w:rsidR="00743BA8" w:rsidRPr="00923437">
        <w:rPr>
          <w:rFonts w:ascii="Cambria" w:hAnsi="Cambria" w:cs="Arial"/>
          <w:b/>
        </w:rPr>
        <w:t>Teguh Theryana Bobonera</w:t>
      </w:r>
      <w:r w:rsidRPr="00923437">
        <w:rPr>
          <w:rFonts w:ascii="Cambria" w:hAnsi="Cambria" w:cs="Arial"/>
          <w:b/>
        </w:rPr>
        <w:t xml:space="preserve"> </w:t>
      </w:r>
    </w:p>
    <w:p w14:paraId="36267BF4" w14:textId="3377045B" w:rsidR="00D85455" w:rsidRPr="00923437" w:rsidRDefault="00D85455" w:rsidP="00D85455">
      <w:pPr>
        <w:tabs>
          <w:tab w:val="left" w:pos="2694"/>
        </w:tabs>
        <w:spacing w:line="240" w:lineRule="auto"/>
        <w:rPr>
          <w:rFonts w:ascii="Cambria" w:hAnsi="Cambria" w:cs="Arial"/>
          <w:b/>
        </w:rPr>
      </w:pPr>
      <w:r w:rsidRPr="00923437">
        <w:rPr>
          <w:rFonts w:ascii="Cambria" w:hAnsi="Cambria" w:cs="Arial"/>
          <w:b/>
        </w:rPr>
        <w:t>Email</w:t>
      </w:r>
      <w:r w:rsidRPr="00923437">
        <w:rPr>
          <w:rFonts w:ascii="Cambria" w:hAnsi="Cambria" w:cs="Arial"/>
          <w:b/>
        </w:rPr>
        <w:tab/>
        <w:t xml:space="preserve">: </w:t>
      </w:r>
      <w:r w:rsidR="00743BA8" w:rsidRPr="00923437">
        <w:rPr>
          <w:rFonts w:ascii="Cambria" w:hAnsi="Cambria" w:cs="Arial"/>
          <w:b/>
        </w:rPr>
        <w:t>nera.nerfin@gmail.com</w:t>
      </w:r>
    </w:p>
    <w:p w14:paraId="7D6E040C" w14:textId="77777777" w:rsidR="00D85455" w:rsidRPr="00923437" w:rsidRDefault="00D85455" w:rsidP="00D85455">
      <w:pPr>
        <w:spacing w:line="240" w:lineRule="auto"/>
        <w:jc w:val="both"/>
        <w:rPr>
          <w:rFonts w:ascii="Cambria" w:hAnsi="Cambria"/>
          <w:b/>
          <w:sz w:val="22"/>
          <w:szCs w:val="24"/>
        </w:rPr>
      </w:pPr>
    </w:p>
    <w:p w14:paraId="009E3A59" w14:textId="77777777" w:rsidR="00D85455" w:rsidRPr="00923437" w:rsidRDefault="00D85455" w:rsidP="00D85455">
      <w:pPr>
        <w:spacing w:line="240" w:lineRule="auto"/>
        <w:jc w:val="both"/>
        <w:rPr>
          <w:rFonts w:ascii="Cambria" w:hAnsi="Cambria"/>
          <w:b/>
          <w:sz w:val="22"/>
          <w:szCs w:val="24"/>
        </w:rPr>
        <w:sectPr w:rsidR="00D85455" w:rsidRPr="00923437" w:rsidSect="00145770">
          <w:headerReference w:type="first" r:id="rId7"/>
          <w:pgSz w:w="11906" w:h="16838" w:code="9"/>
          <w:pgMar w:top="1701" w:right="1701" w:bottom="1701" w:left="1701" w:header="709" w:footer="607" w:gutter="0"/>
          <w:pgNumType w:start="105"/>
          <w:cols w:space="708"/>
          <w:titlePg/>
          <w:docGrid w:linePitch="360"/>
        </w:sectPr>
      </w:pPr>
    </w:p>
    <w:p w14:paraId="513110B8" w14:textId="77777777" w:rsidR="00D85455" w:rsidRPr="00923437" w:rsidRDefault="00D85455" w:rsidP="00D85455">
      <w:pPr>
        <w:spacing w:line="240" w:lineRule="auto"/>
        <w:jc w:val="both"/>
        <w:rPr>
          <w:rFonts w:ascii="Cambria" w:hAnsi="Cambria"/>
          <w:b/>
          <w:sz w:val="22"/>
          <w:szCs w:val="24"/>
        </w:rPr>
        <w:sectPr w:rsidR="00D85455" w:rsidRPr="00923437" w:rsidSect="00432E4C">
          <w:type w:val="continuous"/>
          <w:pgSz w:w="11906" w:h="16838" w:code="9"/>
          <w:pgMar w:top="1134" w:right="1134" w:bottom="1134" w:left="1134" w:header="709" w:footer="607" w:gutter="0"/>
          <w:pgNumType w:start="105"/>
          <w:cols w:num="2" w:space="708"/>
          <w:titlePg/>
          <w:docGrid w:linePitch="360"/>
        </w:sectPr>
      </w:pPr>
      <w:r w:rsidRPr="00923437">
        <w:rPr>
          <w:rFonts w:ascii="Cambria" w:hAnsi="Cambria"/>
          <w:b/>
          <w:sz w:val="22"/>
          <w:szCs w:val="24"/>
        </w:rPr>
        <w:t xml:space="preserve">  </w:t>
      </w:r>
    </w:p>
    <w:p w14:paraId="625B3903" w14:textId="77EEE6C7" w:rsidR="00D85455" w:rsidRPr="00923437" w:rsidRDefault="00D85455" w:rsidP="00D85455">
      <w:pPr>
        <w:spacing w:after="100" w:afterAutospacing="1" w:line="240" w:lineRule="auto"/>
        <w:jc w:val="both"/>
        <w:rPr>
          <w:rFonts w:ascii="Cambria" w:hAnsi="Cambria"/>
          <w:b/>
          <w:szCs w:val="24"/>
        </w:rPr>
      </w:pPr>
      <w:r w:rsidRPr="00923437">
        <w:rPr>
          <w:rFonts w:ascii="Cambria" w:hAnsi="Cambria"/>
          <w:b/>
          <w:szCs w:val="24"/>
        </w:rPr>
        <w:lastRenderedPageBreak/>
        <w:t>INTRODUCTION</w:t>
      </w:r>
    </w:p>
    <w:p w14:paraId="12BC10A6" w14:textId="1F4C9256" w:rsidR="008A7550" w:rsidRPr="00923437" w:rsidRDefault="008A7550" w:rsidP="00D85455">
      <w:pPr>
        <w:spacing w:after="100" w:afterAutospacing="1" w:line="240" w:lineRule="auto"/>
        <w:jc w:val="both"/>
        <w:rPr>
          <w:rStyle w:val="q4iawc"/>
          <w:rFonts w:ascii="Cambria" w:hAnsi="Cambria"/>
        </w:rPr>
      </w:pPr>
      <w:r w:rsidRPr="00923437">
        <w:rPr>
          <w:rStyle w:val="q4iawc"/>
          <w:rFonts w:ascii="Cambria" w:hAnsi="Cambria"/>
        </w:rPr>
        <w:t>The decrease in patient morbidity and mortality is influenced by quality inpatient services. Hospitalized patients can be in stable or unstable conditions. There is a phenomenon of patients whose condition is not stable being placed in inpatient, due to the limitations of the intensive care unit. These patients are at risk for worsening clinical conditions that increase morbidity and mortality. One of the efforts to improve quality related to patient safety in hospitals is the application of the Early Warning Score (EWS) including in inpatient installations. An early warning score is one of the assessment parameters in hospital accreditation</w:t>
      </w:r>
      <w:r w:rsidR="000F3245" w:rsidRPr="00923437">
        <w:rPr>
          <w:rStyle w:val="q4iawc"/>
          <w:rFonts w:ascii="Cambria" w:hAnsi="Cambria"/>
        </w:rPr>
        <w:t xml:space="preserve"> and quality of care</w:t>
      </w:r>
      <w:r w:rsidR="0095341D" w:rsidRPr="00923437">
        <w:rPr>
          <w:rStyle w:val="q4iawc"/>
          <w:rFonts w:ascii="Cambria" w:hAnsi="Cambria"/>
          <w:lang w:val="en-US"/>
        </w:rPr>
        <w:t xml:space="preserve"> [5]</w:t>
      </w:r>
      <w:r w:rsidRPr="00923437">
        <w:rPr>
          <w:rStyle w:val="q4iawc"/>
          <w:rFonts w:ascii="Cambria" w:hAnsi="Cambria"/>
        </w:rPr>
        <w:t xml:space="preserve">. An early warning score (EWS) is a parameter used to assess the deterioration of the patient's physiological condition, namely identifying and responding to patients who come with acute disease conditions. The EWS assessment was carried out based on seven parameters for assessing the patient's physiological response consisting of respiration, systolic blood pressure, temperature, pulse, oxygen saturation, supplemental oxygen, and the patient's level of consciousness. Adult Early Warning Score (AEWS) is a score monitoring tool that is specifically used to identify and assess changes in the condition of adult patients (over 15 years of age) using physiological parameters, such as respiration, peripheral oxygen saturation, oxygen use, systolic blood pressure, pulse/ heart rate, consciousness, and temperature </w:t>
      </w:r>
      <w:r w:rsidR="00444A13" w:rsidRPr="00923437">
        <w:rPr>
          <w:rStyle w:val="q4iawc"/>
          <w:rFonts w:ascii="Cambria" w:hAnsi="Cambria"/>
        </w:rPr>
        <w:t>[1][4]</w:t>
      </w:r>
      <w:r w:rsidRPr="00923437">
        <w:rPr>
          <w:rStyle w:val="q4iawc"/>
          <w:rFonts w:ascii="Cambria" w:hAnsi="Cambria"/>
        </w:rPr>
        <w:t>.</w:t>
      </w:r>
    </w:p>
    <w:p w14:paraId="666A5368" w14:textId="577F1596" w:rsidR="008A7550" w:rsidRPr="00923437" w:rsidRDefault="008A7550" w:rsidP="00D85455">
      <w:pPr>
        <w:spacing w:after="100" w:afterAutospacing="1" w:line="240" w:lineRule="auto"/>
        <w:jc w:val="both"/>
        <w:rPr>
          <w:rStyle w:val="q4iawc"/>
          <w:rFonts w:ascii="Cambria" w:hAnsi="Cambria"/>
        </w:rPr>
      </w:pPr>
      <w:r w:rsidRPr="00923437">
        <w:rPr>
          <w:rStyle w:val="q4iawc"/>
          <w:rFonts w:ascii="Cambria" w:hAnsi="Cambria"/>
        </w:rPr>
        <w:t>The early warning score (EWS) can be used to predict the short-term and long-term probability of death. This is associated with abnormality in the patient's high vital signs, regardless of the intervention or timeliness of medical personnel. The early warning score (EWS) can be used as a predictor of patient outcomes including Length of Stay (LOS), mortality within 28 days or Net Death Rate (NDR), and HCU/ICU admission and activation of a code blue. Based on the results of existing research, the impact of the application of EWS on patient clinical outcomes is still varied so an overall conclusion cannot be drawn</w:t>
      </w:r>
      <w:r w:rsidR="005C31DB" w:rsidRPr="00923437">
        <w:rPr>
          <w:rStyle w:val="q4iawc"/>
          <w:rFonts w:ascii="Cambria" w:hAnsi="Cambria"/>
          <w:lang w:val="en-US"/>
        </w:rPr>
        <w:t xml:space="preserve"> [2]</w:t>
      </w:r>
      <w:r w:rsidRPr="00923437">
        <w:rPr>
          <w:rStyle w:val="q4iawc"/>
          <w:rFonts w:ascii="Cambria" w:hAnsi="Cambria"/>
        </w:rPr>
        <w:t>. The results of previous studies found that there was a significant difference between the NDR and LOS of patients in the hospital after the application of EWS. Significant differences were found in the increase in code blue activation and admission to HCU. The implementation of the EWS has resulted in higher utilization of the rapid response system, resulting in a lower incidence of cardiopulmonary arrest.</w:t>
      </w:r>
      <w:r w:rsidR="00E1436D" w:rsidRPr="00923437">
        <w:rPr>
          <w:rStyle w:val="q4iawc"/>
          <w:rFonts w:ascii="Cambria" w:hAnsi="Cambria"/>
        </w:rPr>
        <w:t xml:space="preserve"> The aim of this literature review is to explain </w:t>
      </w:r>
      <w:r w:rsidR="00E1436D" w:rsidRPr="00923437">
        <w:rPr>
          <w:rStyle w:val="jlqj4b"/>
          <w:rFonts w:ascii="Cambria" w:hAnsi="Cambria"/>
        </w:rPr>
        <w:t>effects of early warning score (</w:t>
      </w:r>
      <w:r w:rsidR="005C31DB" w:rsidRPr="00923437">
        <w:rPr>
          <w:rStyle w:val="jlqj4b"/>
          <w:rFonts w:ascii="Cambria" w:hAnsi="Cambria"/>
        </w:rPr>
        <w:t>EWS</w:t>
      </w:r>
      <w:r w:rsidR="00E1436D" w:rsidRPr="00923437">
        <w:rPr>
          <w:rStyle w:val="jlqj4b"/>
          <w:rFonts w:ascii="Cambria" w:hAnsi="Cambria"/>
        </w:rPr>
        <w:t xml:space="preserve">) on </w:t>
      </w:r>
      <w:r w:rsidR="00E1436D" w:rsidRPr="00923437">
        <w:rPr>
          <w:rStyle w:val="q4iawc"/>
          <w:rFonts w:ascii="Cambria" w:hAnsi="Cambria"/>
        </w:rPr>
        <w:t>outcomes of inpatient services</w:t>
      </w:r>
      <w:r w:rsidR="005C31DB" w:rsidRPr="00923437">
        <w:rPr>
          <w:rStyle w:val="q4iawc"/>
          <w:rFonts w:ascii="Cambria" w:hAnsi="Cambria"/>
          <w:lang w:val="en-US"/>
        </w:rPr>
        <w:t xml:space="preserve"> [3]</w:t>
      </w:r>
      <w:r w:rsidR="00E1436D" w:rsidRPr="00923437">
        <w:rPr>
          <w:rStyle w:val="q4iawc"/>
          <w:rFonts w:ascii="Cambria" w:hAnsi="Cambria"/>
        </w:rPr>
        <w:t>.</w:t>
      </w:r>
    </w:p>
    <w:p w14:paraId="0312ECDA" w14:textId="6CD94649" w:rsidR="00D85455" w:rsidRPr="00923437" w:rsidRDefault="00D85455" w:rsidP="00D85455">
      <w:pPr>
        <w:spacing w:after="100" w:afterAutospacing="1" w:line="240" w:lineRule="auto"/>
        <w:jc w:val="both"/>
        <w:rPr>
          <w:rFonts w:ascii="Cambria" w:hAnsi="Cambria"/>
          <w:b/>
          <w:szCs w:val="24"/>
        </w:rPr>
      </w:pPr>
      <w:r w:rsidRPr="00923437">
        <w:rPr>
          <w:rFonts w:ascii="Cambria" w:hAnsi="Cambria"/>
          <w:b/>
          <w:szCs w:val="24"/>
        </w:rPr>
        <w:t>METHODS</w:t>
      </w:r>
    </w:p>
    <w:p w14:paraId="1C8C76C7" w14:textId="5BE6A500" w:rsidR="00D85455" w:rsidRPr="00923437" w:rsidRDefault="008A7550" w:rsidP="00D85455">
      <w:pPr>
        <w:pStyle w:val="ListParagraph"/>
        <w:ind w:left="0"/>
        <w:jc w:val="both"/>
        <w:rPr>
          <w:rStyle w:val="q4iawc"/>
          <w:rFonts w:ascii="Cambria" w:hAnsi="Cambria"/>
          <w:sz w:val="24"/>
          <w:szCs w:val="24"/>
          <w:lang w:val="id-ID"/>
        </w:rPr>
      </w:pPr>
      <w:r w:rsidRPr="00923437">
        <w:rPr>
          <w:rStyle w:val="q4iawc"/>
          <w:rFonts w:ascii="Cambria" w:hAnsi="Cambria"/>
          <w:sz w:val="24"/>
          <w:szCs w:val="24"/>
          <w:lang w:val="id-ID"/>
        </w:rPr>
        <w:t xml:space="preserve">This study uses a literature study approach with a descriptive review type. The articles used are international with a range of years from 2011-2021. The databases used are Proquest, PubMed, and the Google Scholar search engine. The strategy used to search the literature is by using the keywords "early warning score" AND "healthcare quality". The inclusion criteria in this study were full text, randomized control trial, quasi-experimental and English. While the exclusion criteria are articles with systematic reviews, literature reviews, and case reports. It was found that 2,136 articles came from the PubMed database, 38,760 articles came from the Proquest database, and 19,400 articles came from the Google Scholar search engine, so the total articles found were 60,260 articles. After re-screening the 60,260 articles based on the exclusion criteria, it </w:t>
      </w:r>
      <w:r w:rsidRPr="00923437">
        <w:rPr>
          <w:rStyle w:val="q4iawc"/>
          <w:rFonts w:ascii="Cambria" w:hAnsi="Cambria"/>
          <w:sz w:val="24"/>
          <w:szCs w:val="24"/>
          <w:lang w:val="id-ID"/>
        </w:rPr>
        <w:lastRenderedPageBreak/>
        <w:t>was found that 31,252 had the search exclusion criteria. A total of 3,439 articles were screened again and resulted in 5 articles that met the researcher's inclusion criteria.</w:t>
      </w:r>
    </w:p>
    <w:p w14:paraId="3A54E032" w14:textId="77777777" w:rsidR="008A7550" w:rsidRPr="00923437" w:rsidRDefault="008A7550" w:rsidP="00D85455">
      <w:pPr>
        <w:pStyle w:val="ListParagraph"/>
        <w:ind w:left="0"/>
        <w:jc w:val="both"/>
        <w:rPr>
          <w:rFonts w:ascii="Cambria" w:hAnsi="Cambria"/>
          <w:position w:val="-1"/>
          <w:sz w:val="24"/>
          <w:szCs w:val="24"/>
          <w:lang w:val="id-ID"/>
        </w:rPr>
      </w:pPr>
    </w:p>
    <w:p w14:paraId="53524039" w14:textId="77777777" w:rsidR="00D85455" w:rsidRPr="00923437" w:rsidRDefault="00D85455" w:rsidP="00D85455">
      <w:pPr>
        <w:pStyle w:val="NoSpacing"/>
        <w:rPr>
          <w:rFonts w:ascii="Cambria" w:hAnsi="Cambria"/>
          <w:b/>
          <w:bCs/>
        </w:rPr>
      </w:pPr>
      <w:r w:rsidRPr="00923437">
        <w:rPr>
          <w:rFonts w:ascii="Cambria" w:hAnsi="Cambria"/>
          <w:b/>
          <w:bCs/>
        </w:rPr>
        <w:t>RESULT</w:t>
      </w:r>
    </w:p>
    <w:p w14:paraId="1576B08A" w14:textId="77777777" w:rsidR="00D85455" w:rsidRPr="00923437" w:rsidRDefault="00D85455" w:rsidP="00D85455">
      <w:pPr>
        <w:pStyle w:val="NoSpacing"/>
        <w:rPr>
          <w:rFonts w:ascii="Cambria" w:hAnsi="Cambria"/>
          <w:b/>
          <w:bCs/>
        </w:rPr>
      </w:pPr>
    </w:p>
    <w:p w14:paraId="481C3B49" w14:textId="647FC880" w:rsidR="001E6D3A" w:rsidRPr="00923437" w:rsidRDefault="008A7550" w:rsidP="00D85455">
      <w:pPr>
        <w:spacing w:line="240" w:lineRule="auto"/>
        <w:jc w:val="both"/>
        <w:rPr>
          <w:rStyle w:val="q4iawc"/>
          <w:rFonts w:ascii="Cambria" w:hAnsi="Cambria"/>
        </w:rPr>
      </w:pPr>
      <w:r w:rsidRPr="00923437">
        <w:rPr>
          <w:rStyle w:val="q4iawc"/>
          <w:rFonts w:ascii="Cambria" w:hAnsi="Cambria"/>
        </w:rPr>
        <w:t>Based on the search results obtained from Google Scholar, Proquest, and Pubmed using the keywords used in this literature review using Indonesian and English. The mortality rate of inpatients after the use of AEWS is included in the low category with a gross death rate of 3.2 per 1000 visits or the number of deaths of inpatients aged over 15 years as many as 12 people. An early Warning Score (EWS) can be used to predict the patient outcome which is an indicator of inpatient services</w:t>
      </w:r>
      <w:r w:rsidR="0095341D" w:rsidRPr="00923437">
        <w:rPr>
          <w:rStyle w:val="q4iawc"/>
          <w:rFonts w:ascii="Cambria" w:hAnsi="Cambria"/>
          <w:lang w:val="en-US"/>
        </w:rPr>
        <w:t xml:space="preserve"> [7]</w:t>
      </w:r>
      <w:r w:rsidRPr="00923437">
        <w:rPr>
          <w:rStyle w:val="q4iawc"/>
          <w:rFonts w:ascii="Cambria" w:hAnsi="Cambria"/>
        </w:rPr>
        <w:t>. The results obtained that there is a correlation between the EWS value with mortality but not with the length of stay. Research results related to the correlation of EWS with referrals to ICU/HCU and activation of code blue cannot be analyzed so that in the future a larger number of samples and case variations are needed. A clinical flow can be created in advance so that good patient management can be carried out if the EWS score is higher.</w:t>
      </w:r>
    </w:p>
    <w:p w14:paraId="25278B05" w14:textId="77777777" w:rsidR="008A7550" w:rsidRPr="00923437" w:rsidRDefault="008A7550" w:rsidP="00D85455">
      <w:pPr>
        <w:spacing w:line="240" w:lineRule="auto"/>
        <w:jc w:val="both"/>
        <w:rPr>
          <w:rFonts w:ascii="Cambria" w:hAnsi="Cambria"/>
          <w:szCs w:val="24"/>
        </w:rPr>
      </w:pPr>
    </w:p>
    <w:p w14:paraId="1C48B83A" w14:textId="66CE9285" w:rsidR="001E6D3A" w:rsidRPr="00923437" w:rsidRDefault="008A7550" w:rsidP="001E6D3A">
      <w:pPr>
        <w:spacing w:line="240" w:lineRule="auto"/>
        <w:ind w:firstLine="720"/>
        <w:jc w:val="center"/>
        <w:rPr>
          <w:rFonts w:ascii="Cambria" w:hAnsi="Cambria"/>
          <w:b/>
          <w:bCs/>
        </w:rPr>
      </w:pPr>
      <w:r w:rsidRPr="00923437">
        <w:rPr>
          <w:rStyle w:val="q4iawc"/>
          <w:rFonts w:ascii="Cambria" w:hAnsi="Cambria"/>
          <w:b/>
          <w:bCs/>
        </w:rPr>
        <w:t>Data Extraction Table</w:t>
      </w:r>
    </w:p>
    <w:p w14:paraId="2CD054AD" w14:textId="77777777" w:rsidR="001E6D3A" w:rsidRPr="00923437" w:rsidRDefault="001E6D3A" w:rsidP="001E6D3A">
      <w:pPr>
        <w:spacing w:line="240" w:lineRule="auto"/>
        <w:ind w:firstLine="720"/>
        <w:jc w:val="both"/>
        <w:rPr>
          <w:rFonts w:ascii="Cambria" w:hAnsi="Cambria"/>
        </w:rPr>
      </w:pPr>
    </w:p>
    <w:tbl>
      <w:tblPr>
        <w:tblStyle w:val="TableGrid"/>
        <w:tblW w:w="9781" w:type="dxa"/>
        <w:tblLook w:val="04A0" w:firstRow="1" w:lastRow="0" w:firstColumn="1" w:lastColumn="0" w:noHBand="0" w:noVBand="1"/>
      </w:tblPr>
      <w:tblGrid>
        <w:gridCol w:w="567"/>
        <w:gridCol w:w="2410"/>
        <w:gridCol w:w="1843"/>
        <w:gridCol w:w="2288"/>
        <w:gridCol w:w="2673"/>
      </w:tblGrid>
      <w:tr w:rsidR="00923437" w:rsidRPr="00923437" w14:paraId="71BE645D" w14:textId="77777777" w:rsidTr="007D617A">
        <w:trPr>
          <w:tblHeader/>
        </w:trPr>
        <w:tc>
          <w:tcPr>
            <w:tcW w:w="567" w:type="dxa"/>
            <w:tcBorders>
              <w:left w:val="nil"/>
              <w:bottom w:val="single" w:sz="4" w:space="0" w:color="auto"/>
              <w:right w:val="nil"/>
            </w:tcBorders>
            <w:shd w:val="clear" w:color="auto" w:fill="auto"/>
          </w:tcPr>
          <w:p w14:paraId="5F0CA396" w14:textId="77777777" w:rsidR="001E6D3A" w:rsidRPr="00923437" w:rsidRDefault="001E6D3A" w:rsidP="001E6D3A">
            <w:pPr>
              <w:spacing w:line="240" w:lineRule="auto"/>
              <w:jc w:val="center"/>
              <w:rPr>
                <w:rFonts w:ascii="Cambria" w:hAnsi="Cambria"/>
                <w:b/>
                <w:bCs/>
                <w:sz w:val="20"/>
                <w:szCs w:val="20"/>
              </w:rPr>
            </w:pPr>
            <w:r w:rsidRPr="00923437">
              <w:rPr>
                <w:rFonts w:ascii="Cambria" w:hAnsi="Cambria"/>
                <w:b/>
                <w:bCs/>
                <w:sz w:val="20"/>
                <w:szCs w:val="20"/>
              </w:rPr>
              <w:t>No.</w:t>
            </w:r>
          </w:p>
        </w:tc>
        <w:tc>
          <w:tcPr>
            <w:tcW w:w="2410" w:type="dxa"/>
            <w:tcBorders>
              <w:left w:val="nil"/>
              <w:right w:val="nil"/>
            </w:tcBorders>
            <w:shd w:val="clear" w:color="auto" w:fill="auto"/>
          </w:tcPr>
          <w:p w14:paraId="02ECABA1" w14:textId="77777777" w:rsidR="001E6D3A" w:rsidRPr="00923437" w:rsidRDefault="001E6D3A" w:rsidP="001E6D3A">
            <w:pPr>
              <w:spacing w:line="240" w:lineRule="auto"/>
              <w:jc w:val="center"/>
              <w:rPr>
                <w:rFonts w:ascii="Cambria" w:hAnsi="Cambria"/>
                <w:b/>
                <w:bCs/>
                <w:sz w:val="20"/>
                <w:szCs w:val="20"/>
              </w:rPr>
            </w:pPr>
            <w:r w:rsidRPr="00923437">
              <w:rPr>
                <w:rFonts w:ascii="Cambria" w:hAnsi="Cambria"/>
                <w:b/>
                <w:bCs/>
                <w:sz w:val="20"/>
                <w:szCs w:val="20"/>
              </w:rPr>
              <w:t>Juduk Artikel,</w:t>
            </w:r>
          </w:p>
          <w:p w14:paraId="4C80F5D0" w14:textId="0D7592A9" w:rsidR="001E6D3A" w:rsidRPr="00923437" w:rsidRDefault="00B8114A" w:rsidP="001E6D3A">
            <w:pPr>
              <w:spacing w:line="240" w:lineRule="auto"/>
              <w:jc w:val="center"/>
              <w:rPr>
                <w:rFonts w:ascii="Cambria" w:hAnsi="Cambria"/>
                <w:b/>
                <w:bCs/>
                <w:sz w:val="20"/>
                <w:szCs w:val="20"/>
              </w:rPr>
            </w:pPr>
            <w:r w:rsidRPr="00923437">
              <w:rPr>
                <w:rFonts w:ascii="Cambria" w:hAnsi="Cambria"/>
                <w:b/>
                <w:bCs/>
                <w:sz w:val="20"/>
                <w:szCs w:val="20"/>
              </w:rPr>
              <w:t>Author</w:t>
            </w:r>
            <w:r w:rsidR="001E6D3A" w:rsidRPr="00923437">
              <w:rPr>
                <w:rFonts w:ascii="Cambria" w:hAnsi="Cambria"/>
                <w:b/>
                <w:bCs/>
                <w:sz w:val="20"/>
                <w:szCs w:val="20"/>
              </w:rPr>
              <w:t xml:space="preserve"> dan</w:t>
            </w:r>
          </w:p>
          <w:p w14:paraId="0A62FA7E" w14:textId="086FFC87" w:rsidR="001E6D3A" w:rsidRPr="00923437" w:rsidRDefault="00B8114A" w:rsidP="001E6D3A">
            <w:pPr>
              <w:spacing w:line="240" w:lineRule="auto"/>
              <w:jc w:val="center"/>
              <w:rPr>
                <w:rFonts w:ascii="Cambria" w:hAnsi="Cambria"/>
                <w:b/>
                <w:bCs/>
                <w:sz w:val="20"/>
                <w:szCs w:val="20"/>
              </w:rPr>
            </w:pPr>
            <w:r w:rsidRPr="00923437">
              <w:rPr>
                <w:rFonts w:ascii="Cambria" w:hAnsi="Cambria"/>
                <w:b/>
                <w:bCs/>
                <w:sz w:val="20"/>
                <w:szCs w:val="20"/>
              </w:rPr>
              <w:t>Year</w:t>
            </w:r>
          </w:p>
        </w:tc>
        <w:tc>
          <w:tcPr>
            <w:tcW w:w="1843" w:type="dxa"/>
            <w:tcBorders>
              <w:left w:val="nil"/>
              <w:bottom w:val="single" w:sz="4" w:space="0" w:color="auto"/>
              <w:right w:val="nil"/>
            </w:tcBorders>
            <w:shd w:val="clear" w:color="auto" w:fill="auto"/>
          </w:tcPr>
          <w:p w14:paraId="12307AA9" w14:textId="77777777" w:rsidR="001E6D3A" w:rsidRPr="00923437" w:rsidRDefault="001E6D3A" w:rsidP="007D617A">
            <w:pPr>
              <w:spacing w:line="240" w:lineRule="auto"/>
              <w:jc w:val="center"/>
              <w:rPr>
                <w:rFonts w:ascii="Cambria" w:hAnsi="Cambria"/>
                <w:b/>
                <w:bCs/>
                <w:sz w:val="20"/>
                <w:szCs w:val="20"/>
              </w:rPr>
            </w:pPr>
            <w:r w:rsidRPr="00923437">
              <w:rPr>
                <w:rFonts w:ascii="Cambria" w:hAnsi="Cambria"/>
                <w:b/>
                <w:bCs/>
                <w:sz w:val="20"/>
                <w:szCs w:val="20"/>
              </w:rPr>
              <w:t>Desain Penelitian</w:t>
            </w:r>
          </w:p>
        </w:tc>
        <w:tc>
          <w:tcPr>
            <w:tcW w:w="2288" w:type="dxa"/>
            <w:tcBorders>
              <w:left w:val="nil"/>
              <w:bottom w:val="single" w:sz="4" w:space="0" w:color="auto"/>
              <w:right w:val="nil"/>
            </w:tcBorders>
            <w:shd w:val="clear" w:color="auto" w:fill="auto"/>
          </w:tcPr>
          <w:p w14:paraId="68DE526D" w14:textId="77777777" w:rsidR="001E6D3A" w:rsidRPr="00923437" w:rsidRDefault="001E6D3A" w:rsidP="001E6D3A">
            <w:pPr>
              <w:spacing w:line="240" w:lineRule="auto"/>
              <w:jc w:val="center"/>
              <w:rPr>
                <w:rFonts w:ascii="Cambria" w:hAnsi="Cambria"/>
                <w:b/>
                <w:bCs/>
                <w:sz w:val="20"/>
                <w:szCs w:val="20"/>
              </w:rPr>
            </w:pPr>
            <w:r w:rsidRPr="00923437">
              <w:rPr>
                <w:rFonts w:ascii="Cambria" w:hAnsi="Cambria"/>
                <w:b/>
                <w:bCs/>
                <w:sz w:val="20"/>
                <w:szCs w:val="20"/>
              </w:rPr>
              <w:t>Sampel</w:t>
            </w:r>
          </w:p>
        </w:tc>
        <w:tc>
          <w:tcPr>
            <w:tcW w:w="2673" w:type="dxa"/>
            <w:tcBorders>
              <w:left w:val="nil"/>
              <w:bottom w:val="single" w:sz="4" w:space="0" w:color="auto"/>
              <w:right w:val="nil"/>
            </w:tcBorders>
            <w:shd w:val="clear" w:color="auto" w:fill="auto"/>
          </w:tcPr>
          <w:p w14:paraId="340CFFCE" w14:textId="77777777" w:rsidR="001E6D3A" w:rsidRPr="00923437" w:rsidRDefault="001E6D3A" w:rsidP="001E6D3A">
            <w:pPr>
              <w:spacing w:line="240" w:lineRule="auto"/>
              <w:jc w:val="center"/>
              <w:rPr>
                <w:rFonts w:ascii="Cambria" w:hAnsi="Cambria"/>
                <w:b/>
                <w:bCs/>
                <w:sz w:val="20"/>
                <w:szCs w:val="20"/>
              </w:rPr>
            </w:pPr>
            <w:r w:rsidRPr="00923437">
              <w:rPr>
                <w:rFonts w:ascii="Cambria" w:hAnsi="Cambria"/>
                <w:b/>
                <w:bCs/>
                <w:sz w:val="20"/>
                <w:szCs w:val="20"/>
              </w:rPr>
              <w:t>Hasil Penelitian</w:t>
            </w:r>
          </w:p>
        </w:tc>
      </w:tr>
      <w:tr w:rsidR="00923437" w:rsidRPr="00923437" w14:paraId="72D85120" w14:textId="77777777" w:rsidTr="007D617A">
        <w:tc>
          <w:tcPr>
            <w:tcW w:w="567" w:type="dxa"/>
            <w:tcBorders>
              <w:left w:val="nil"/>
              <w:bottom w:val="single" w:sz="4" w:space="0" w:color="auto"/>
              <w:right w:val="nil"/>
            </w:tcBorders>
            <w:shd w:val="clear" w:color="auto" w:fill="auto"/>
          </w:tcPr>
          <w:p w14:paraId="301D3E85" w14:textId="77777777" w:rsidR="001E6D3A" w:rsidRPr="00923437" w:rsidRDefault="001E6D3A" w:rsidP="007D617A">
            <w:pPr>
              <w:pStyle w:val="ListParagraph"/>
              <w:numPr>
                <w:ilvl w:val="0"/>
                <w:numId w:val="2"/>
              </w:numPr>
              <w:ind w:left="360"/>
              <w:jc w:val="center"/>
              <w:rPr>
                <w:rFonts w:ascii="Cambria" w:hAnsi="Cambria"/>
                <w:lang w:val="id-ID"/>
              </w:rPr>
            </w:pPr>
          </w:p>
        </w:tc>
        <w:tc>
          <w:tcPr>
            <w:tcW w:w="2410" w:type="dxa"/>
            <w:tcBorders>
              <w:left w:val="nil"/>
              <w:bottom w:val="single" w:sz="4" w:space="0" w:color="auto"/>
              <w:right w:val="nil"/>
            </w:tcBorders>
            <w:shd w:val="clear" w:color="auto" w:fill="auto"/>
          </w:tcPr>
          <w:p w14:paraId="6CF43C2C" w14:textId="460A21FD" w:rsidR="001E6D3A" w:rsidRPr="00923437" w:rsidRDefault="00B8114A" w:rsidP="001E6D3A">
            <w:pPr>
              <w:spacing w:line="240" w:lineRule="auto"/>
              <w:jc w:val="both"/>
              <w:rPr>
                <w:rFonts w:ascii="Cambria" w:hAnsi="Cambria"/>
                <w:b/>
                <w:sz w:val="20"/>
                <w:szCs w:val="20"/>
              </w:rPr>
            </w:pPr>
            <w:r w:rsidRPr="00923437">
              <w:rPr>
                <w:rFonts w:ascii="Cambria" w:hAnsi="Cambria"/>
                <w:b/>
                <w:sz w:val="20"/>
                <w:szCs w:val="20"/>
              </w:rPr>
              <w:t>T</w:t>
            </w:r>
            <w:r w:rsidRPr="00923437">
              <w:rPr>
                <w:b/>
                <w:sz w:val="20"/>
                <w:szCs w:val="20"/>
              </w:rPr>
              <w:t>itle</w:t>
            </w:r>
            <w:r w:rsidR="001E6D3A" w:rsidRPr="00923437">
              <w:rPr>
                <w:rFonts w:ascii="Cambria" w:hAnsi="Cambria"/>
                <w:b/>
                <w:sz w:val="20"/>
                <w:szCs w:val="20"/>
              </w:rPr>
              <w:t xml:space="preserve"> :</w:t>
            </w:r>
          </w:p>
          <w:p w14:paraId="6EAF258E" w14:textId="77777777" w:rsidR="00B8114A" w:rsidRPr="00923437" w:rsidRDefault="00B8114A" w:rsidP="001E6D3A">
            <w:pPr>
              <w:spacing w:line="240" w:lineRule="auto"/>
              <w:jc w:val="both"/>
              <w:rPr>
                <w:rStyle w:val="q4iawc"/>
                <w:rFonts w:ascii="Cambria" w:hAnsi="Cambria"/>
                <w:sz w:val="20"/>
                <w:szCs w:val="20"/>
              </w:rPr>
            </w:pPr>
            <w:r w:rsidRPr="00923437">
              <w:rPr>
                <w:rStyle w:val="q4iawc"/>
                <w:rFonts w:ascii="Cambria" w:hAnsi="Cambria"/>
                <w:sz w:val="20"/>
                <w:szCs w:val="20"/>
              </w:rPr>
              <w:t>Impact of Early Warning Score Model Implementation on Inpatient Service Quality</w:t>
            </w:r>
          </w:p>
          <w:p w14:paraId="5DC75183" w14:textId="77777777" w:rsidR="00B8114A" w:rsidRPr="00923437" w:rsidRDefault="00B8114A" w:rsidP="001E6D3A">
            <w:pPr>
              <w:spacing w:line="240" w:lineRule="auto"/>
              <w:jc w:val="both"/>
              <w:rPr>
                <w:b/>
                <w:sz w:val="20"/>
                <w:szCs w:val="20"/>
              </w:rPr>
            </w:pPr>
          </w:p>
          <w:p w14:paraId="0774918A" w14:textId="7C7A2218" w:rsidR="001E6D3A" w:rsidRPr="00923437" w:rsidRDefault="00B8114A" w:rsidP="001E6D3A">
            <w:pPr>
              <w:spacing w:line="240" w:lineRule="auto"/>
              <w:jc w:val="both"/>
              <w:rPr>
                <w:rFonts w:ascii="Cambria" w:hAnsi="Cambria"/>
                <w:b/>
                <w:sz w:val="20"/>
                <w:szCs w:val="20"/>
              </w:rPr>
            </w:pPr>
            <w:r w:rsidRPr="00923437">
              <w:rPr>
                <w:rFonts w:ascii="Cambria" w:hAnsi="Cambria"/>
                <w:b/>
                <w:sz w:val="20"/>
                <w:szCs w:val="20"/>
              </w:rPr>
              <w:t>Author</w:t>
            </w:r>
            <w:r w:rsidR="001E6D3A" w:rsidRPr="00923437">
              <w:rPr>
                <w:rFonts w:ascii="Cambria" w:hAnsi="Cambria"/>
                <w:b/>
                <w:sz w:val="20"/>
                <w:szCs w:val="20"/>
              </w:rPr>
              <w:t xml:space="preserve"> :</w:t>
            </w:r>
          </w:p>
          <w:p w14:paraId="1E000086" w14:textId="26C47711" w:rsidR="001E6D3A" w:rsidRPr="00923437" w:rsidRDefault="001E6D3A" w:rsidP="001E6D3A">
            <w:pPr>
              <w:spacing w:line="240" w:lineRule="auto"/>
              <w:jc w:val="both"/>
              <w:rPr>
                <w:rFonts w:ascii="Cambria" w:hAnsi="Cambria"/>
                <w:sz w:val="20"/>
                <w:szCs w:val="20"/>
              </w:rPr>
            </w:pPr>
            <w:r w:rsidRPr="00923437">
              <w:rPr>
                <w:rFonts w:ascii="Cambria" w:hAnsi="Cambria"/>
                <w:sz w:val="20"/>
                <w:szCs w:val="20"/>
              </w:rPr>
              <w:t>Sri Wulan Megawati, Septy Dian Sondari, Irisanna Tambunan</w:t>
            </w:r>
          </w:p>
          <w:p w14:paraId="0120E0A9" w14:textId="77777777" w:rsidR="001E6D3A" w:rsidRPr="00923437" w:rsidRDefault="001E6D3A" w:rsidP="001E6D3A">
            <w:pPr>
              <w:spacing w:line="240" w:lineRule="auto"/>
              <w:jc w:val="both"/>
              <w:rPr>
                <w:rFonts w:ascii="Cambria" w:hAnsi="Cambria"/>
                <w:sz w:val="20"/>
                <w:szCs w:val="20"/>
              </w:rPr>
            </w:pPr>
          </w:p>
          <w:p w14:paraId="65576DE9" w14:textId="6C4C0688" w:rsidR="001E6D3A" w:rsidRPr="00923437" w:rsidRDefault="00B8114A" w:rsidP="001E6D3A">
            <w:pPr>
              <w:spacing w:line="240" w:lineRule="auto"/>
              <w:jc w:val="both"/>
              <w:rPr>
                <w:rFonts w:ascii="Cambria" w:hAnsi="Cambria"/>
                <w:b/>
                <w:sz w:val="20"/>
                <w:szCs w:val="20"/>
              </w:rPr>
            </w:pPr>
            <w:r w:rsidRPr="00923437">
              <w:rPr>
                <w:rFonts w:ascii="Cambria" w:hAnsi="Cambria"/>
                <w:b/>
                <w:sz w:val="20"/>
                <w:szCs w:val="20"/>
              </w:rPr>
              <w:t>Year</w:t>
            </w:r>
            <w:r w:rsidR="001E6D3A" w:rsidRPr="00923437">
              <w:rPr>
                <w:rFonts w:ascii="Cambria" w:hAnsi="Cambria"/>
                <w:b/>
                <w:sz w:val="20"/>
                <w:szCs w:val="20"/>
              </w:rPr>
              <w:t xml:space="preserve"> :</w:t>
            </w:r>
          </w:p>
          <w:p w14:paraId="66207E87" w14:textId="77777777" w:rsidR="001E6D3A" w:rsidRPr="00923437" w:rsidRDefault="001E6D3A" w:rsidP="001E6D3A">
            <w:pPr>
              <w:spacing w:line="240" w:lineRule="auto"/>
              <w:jc w:val="both"/>
              <w:rPr>
                <w:rFonts w:ascii="Cambria" w:hAnsi="Cambria"/>
                <w:b/>
                <w:sz w:val="20"/>
                <w:szCs w:val="20"/>
              </w:rPr>
            </w:pPr>
            <w:r w:rsidRPr="00923437">
              <w:rPr>
                <w:rFonts w:ascii="Cambria" w:hAnsi="Cambria"/>
                <w:b/>
                <w:sz w:val="20"/>
                <w:szCs w:val="20"/>
              </w:rPr>
              <w:t>2020</w:t>
            </w:r>
          </w:p>
        </w:tc>
        <w:tc>
          <w:tcPr>
            <w:tcW w:w="1843" w:type="dxa"/>
            <w:tcBorders>
              <w:left w:val="nil"/>
              <w:bottom w:val="single" w:sz="4" w:space="0" w:color="auto"/>
              <w:right w:val="nil"/>
            </w:tcBorders>
            <w:shd w:val="clear" w:color="auto" w:fill="auto"/>
          </w:tcPr>
          <w:p w14:paraId="07A2E227" w14:textId="0722A582" w:rsidR="001E6D3A" w:rsidRPr="00923437" w:rsidRDefault="001E6D3A" w:rsidP="007D617A">
            <w:pPr>
              <w:spacing w:line="240" w:lineRule="auto"/>
              <w:jc w:val="center"/>
              <w:rPr>
                <w:rFonts w:ascii="Cambria" w:hAnsi="Cambria"/>
                <w:sz w:val="20"/>
                <w:szCs w:val="20"/>
              </w:rPr>
            </w:pPr>
            <w:r w:rsidRPr="00923437">
              <w:rPr>
                <w:rFonts w:ascii="Cambria" w:hAnsi="Cambria"/>
                <w:sz w:val="20"/>
                <w:szCs w:val="20"/>
              </w:rPr>
              <w:t>Randommized Controller Trial</w:t>
            </w:r>
          </w:p>
        </w:tc>
        <w:tc>
          <w:tcPr>
            <w:tcW w:w="2288" w:type="dxa"/>
            <w:tcBorders>
              <w:left w:val="nil"/>
              <w:bottom w:val="single" w:sz="4" w:space="0" w:color="auto"/>
              <w:right w:val="nil"/>
            </w:tcBorders>
            <w:shd w:val="clear" w:color="auto" w:fill="auto"/>
          </w:tcPr>
          <w:p w14:paraId="332B634D" w14:textId="77777777" w:rsidR="001E6D3A" w:rsidRPr="00923437" w:rsidRDefault="008A7550" w:rsidP="001E6D3A">
            <w:pPr>
              <w:spacing w:line="240" w:lineRule="auto"/>
              <w:jc w:val="both"/>
              <w:rPr>
                <w:rStyle w:val="q4iawc"/>
                <w:rFonts w:ascii="Cambria" w:hAnsi="Cambria"/>
                <w:sz w:val="20"/>
                <w:szCs w:val="20"/>
              </w:rPr>
            </w:pPr>
            <w:r w:rsidRPr="00923437">
              <w:rPr>
                <w:rStyle w:val="q4iawc"/>
                <w:rFonts w:ascii="Cambria" w:hAnsi="Cambria"/>
                <w:sz w:val="20"/>
                <w:szCs w:val="20"/>
              </w:rPr>
              <w:t>Samples obtained for one month amounted to 278. with the criteria the patient is an adult (≥16 Years) but not included in the emergency room, intensive care unit, children's room (i.e.&lt;16 Years old), pregnant women, and patients with chronic obstructive pulmonary disease (COPD).</w:t>
            </w:r>
          </w:p>
          <w:p w14:paraId="55EA2EF2" w14:textId="31876B47" w:rsidR="007D617A" w:rsidRPr="00923437" w:rsidRDefault="007D617A" w:rsidP="001E6D3A">
            <w:pPr>
              <w:spacing w:line="240" w:lineRule="auto"/>
              <w:jc w:val="both"/>
              <w:rPr>
                <w:rFonts w:ascii="Cambria" w:hAnsi="Cambria"/>
                <w:sz w:val="20"/>
                <w:szCs w:val="20"/>
              </w:rPr>
            </w:pPr>
          </w:p>
        </w:tc>
        <w:tc>
          <w:tcPr>
            <w:tcW w:w="2673" w:type="dxa"/>
            <w:tcBorders>
              <w:left w:val="nil"/>
              <w:bottom w:val="single" w:sz="4" w:space="0" w:color="auto"/>
              <w:right w:val="nil"/>
            </w:tcBorders>
            <w:shd w:val="clear" w:color="auto" w:fill="auto"/>
          </w:tcPr>
          <w:p w14:paraId="153D3D2D" w14:textId="77777777" w:rsidR="001E6D3A" w:rsidRPr="00923437" w:rsidRDefault="008A7550" w:rsidP="001E6D3A">
            <w:pPr>
              <w:spacing w:line="240" w:lineRule="auto"/>
              <w:jc w:val="both"/>
              <w:rPr>
                <w:rStyle w:val="q4iawc"/>
                <w:rFonts w:ascii="Cambria" w:hAnsi="Cambria"/>
                <w:sz w:val="20"/>
                <w:szCs w:val="20"/>
              </w:rPr>
            </w:pPr>
            <w:r w:rsidRPr="00923437">
              <w:rPr>
                <w:rStyle w:val="q4iawc"/>
                <w:rFonts w:ascii="Cambria" w:hAnsi="Cambria"/>
                <w:sz w:val="20"/>
                <w:szCs w:val="20"/>
              </w:rPr>
              <w:t>The results obtained indicate that there is no correlation between the EWS value and length of stay, while for mortality there is a correlation. Referrals to the ICU/HCU and activation of code blue cannot be analyzed because of the homogeneity of the data so a larger number of samples and case variations are required. EWS can be used as a predictor of inpatient service quality by looking at patient outcomes.</w:t>
            </w:r>
          </w:p>
          <w:p w14:paraId="1417DF25" w14:textId="4534CA2F" w:rsidR="007D617A" w:rsidRPr="00923437" w:rsidRDefault="007D617A" w:rsidP="001E6D3A">
            <w:pPr>
              <w:spacing w:line="240" w:lineRule="auto"/>
              <w:jc w:val="both"/>
              <w:rPr>
                <w:rFonts w:ascii="Cambria" w:hAnsi="Cambria"/>
                <w:sz w:val="20"/>
                <w:szCs w:val="20"/>
              </w:rPr>
            </w:pPr>
          </w:p>
        </w:tc>
      </w:tr>
      <w:tr w:rsidR="00923437" w:rsidRPr="00923437" w14:paraId="0D77855A" w14:textId="77777777" w:rsidTr="007D617A">
        <w:tc>
          <w:tcPr>
            <w:tcW w:w="567" w:type="dxa"/>
            <w:tcBorders>
              <w:top w:val="single" w:sz="4" w:space="0" w:color="auto"/>
              <w:left w:val="nil"/>
              <w:bottom w:val="single" w:sz="4" w:space="0" w:color="auto"/>
              <w:right w:val="nil"/>
            </w:tcBorders>
            <w:shd w:val="clear" w:color="auto" w:fill="auto"/>
          </w:tcPr>
          <w:p w14:paraId="6FAD2BCA" w14:textId="77777777" w:rsidR="001E6D3A" w:rsidRPr="00923437" w:rsidRDefault="001E6D3A" w:rsidP="007D617A">
            <w:pPr>
              <w:pStyle w:val="ListParagraph"/>
              <w:numPr>
                <w:ilvl w:val="0"/>
                <w:numId w:val="2"/>
              </w:numPr>
              <w:ind w:left="360"/>
              <w:jc w:val="center"/>
              <w:rPr>
                <w:rFonts w:ascii="Cambria" w:hAnsi="Cambria"/>
                <w:lang w:val="id-ID"/>
              </w:rPr>
            </w:pPr>
          </w:p>
        </w:tc>
        <w:tc>
          <w:tcPr>
            <w:tcW w:w="2410" w:type="dxa"/>
            <w:tcBorders>
              <w:top w:val="single" w:sz="4" w:space="0" w:color="auto"/>
              <w:left w:val="nil"/>
              <w:bottom w:val="single" w:sz="4" w:space="0" w:color="auto"/>
              <w:right w:val="nil"/>
            </w:tcBorders>
            <w:shd w:val="clear" w:color="auto" w:fill="auto"/>
          </w:tcPr>
          <w:p w14:paraId="6175C543" w14:textId="1C19E038" w:rsidR="001E6D3A" w:rsidRPr="00923437" w:rsidRDefault="00B8114A" w:rsidP="001E6D3A">
            <w:pPr>
              <w:spacing w:line="240" w:lineRule="auto"/>
              <w:jc w:val="both"/>
              <w:rPr>
                <w:rFonts w:ascii="Cambria" w:hAnsi="Cambria"/>
                <w:b/>
                <w:sz w:val="20"/>
                <w:szCs w:val="20"/>
              </w:rPr>
            </w:pPr>
            <w:r w:rsidRPr="00923437">
              <w:rPr>
                <w:rFonts w:ascii="Cambria" w:hAnsi="Cambria"/>
                <w:b/>
                <w:sz w:val="20"/>
                <w:szCs w:val="20"/>
              </w:rPr>
              <w:t>Title</w:t>
            </w:r>
            <w:r w:rsidR="001E6D3A" w:rsidRPr="00923437">
              <w:rPr>
                <w:rFonts w:ascii="Cambria" w:hAnsi="Cambria"/>
                <w:b/>
                <w:sz w:val="20"/>
                <w:szCs w:val="20"/>
              </w:rPr>
              <w:t xml:space="preserve"> :</w:t>
            </w:r>
          </w:p>
          <w:p w14:paraId="501BBE38" w14:textId="506685C0" w:rsidR="001E6D3A" w:rsidRPr="00923437" w:rsidRDefault="00DB0358" w:rsidP="001E6D3A">
            <w:pPr>
              <w:spacing w:line="240" w:lineRule="auto"/>
              <w:jc w:val="both"/>
              <w:rPr>
                <w:rStyle w:val="q4iawc"/>
                <w:rFonts w:ascii="Cambria" w:hAnsi="Cambria"/>
                <w:sz w:val="20"/>
                <w:szCs w:val="20"/>
              </w:rPr>
            </w:pPr>
            <w:r w:rsidRPr="00923437">
              <w:rPr>
                <w:rStyle w:val="q4iawc"/>
                <w:rFonts w:ascii="Cambria" w:hAnsi="Cambria"/>
                <w:sz w:val="20"/>
                <w:szCs w:val="20"/>
              </w:rPr>
              <w:t>The Effect of Using Adult Early Warning Scoring (AEWS) on Mortality Rates at Bali Mandara Hospital</w:t>
            </w:r>
            <w:r w:rsidR="00444A13" w:rsidRPr="00923437">
              <w:rPr>
                <w:rStyle w:val="q4iawc"/>
                <w:rFonts w:ascii="Cambria" w:hAnsi="Cambria"/>
                <w:sz w:val="20"/>
                <w:szCs w:val="20"/>
              </w:rPr>
              <w:t>.</w:t>
            </w:r>
          </w:p>
          <w:p w14:paraId="6400B2DE" w14:textId="77777777" w:rsidR="00DB0358" w:rsidRPr="00923437" w:rsidRDefault="00DB0358" w:rsidP="001E6D3A">
            <w:pPr>
              <w:spacing w:line="240" w:lineRule="auto"/>
              <w:jc w:val="both"/>
              <w:rPr>
                <w:rFonts w:ascii="Cambria" w:hAnsi="Cambria"/>
                <w:sz w:val="20"/>
                <w:szCs w:val="20"/>
              </w:rPr>
            </w:pPr>
          </w:p>
          <w:p w14:paraId="535D57AA" w14:textId="2DD591CA" w:rsidR="001E6D3A" w:rsidRPr="00923437" w:rsidRDefault="00B8114A" w:rsidP="001E6D3A">
            <w:pPr>
              <w:spacing w:line="240" w:lineRule="auto"/>
              <w:jc w:val="both"/>
              <w:rPr>
                <w:rFonts w:ascii="Cambria" w:hAnsi="Cambria"/>
                <w:b/>
                <w:sz w:val="20"/>
                <w:szCs w:val="20"/>
              </w:rPr>
            </w:pPr>
            <w:r w:rsidRPr="00923437">
              <w:rPr>
                <w:rFonts w:ascii="Cambria" w:hAnsi="Cambria"/>
                <w:b/>
                <w:sz w:val="20"/>
                <w:szCs w:val="20"/>
              </w:rPr>
              <w:t>Author</w:t>
            </w:r>
            <w:r w:rsidR="001E6D3A" w:rsidRPr="00923437">
              <w:rPr>
                <w:rFonts w:ascii="Cambria" w:hAnsi="Cambria"/>
                <w:b/>
                <w:sz w:val="20"/>
                <w:szCs w:val="20"/>
              </w:rPr>
              <w:t xml:space="preserve"> :</w:t>
            </w:r>
          </w:p>
          <w:p w14:paraId="3EF8EF1F" w14:textId="77777777" w:rsidR="001E6D3A" w:rsidRPr="00923437" w:rsidRDefault="001E6D3A" w:rsidP="001E6D3A">
            <w:pPr>
              <w:spacing w:line="240" w:lineRule="auto"/>
              <w:jc w:val="both"/>
              <w:rPr>
                <w:rFonts w:ascii="Cambria" w:hAnsi="Cambria"/>
                <w:sz w:val="20"/>
                <w:szCs w:val="20"/>
              </w:rPr>
            </w:pPr>
            <w:r w:rsidRPr="00923437">
              <w:rPr>
                <w:rFonts w:ascii="Cambria" w:hAnsi="Cambria"/>
                <w:sz w:val="20"/>
                <w:szCs w:val="20"/>
              </w:rPr>
              <w:t>Budi Ayu Mira Dewi, I Made Dwie Pradnya Susila,A.A. Kompiang Ngurah Darmawan</w:t>
            </w:r>
          </w:p>
          <w:p w14:paraId="6EFA5459" w14:textId="77777777" w:rsidR="001E6D3A" w:rsidRPr="00923437" w:rsidRDefault="001E6D3A" w:rsidP="001E6D3A">
            <w:pPr>
              <w:spacing w:line="240" w:lineRule="auto"/>
              <w:jc w:val="both"/>
              <w:rPr>
                <w:rFonts w:ascii="Cambria" w:hAnsi="Cambria"/>
                <w:sz w:val="20"/>
                <w:szCs w:val="20"/>
              </w:rPr>
            </w:pPr>
          </w:p>
          <w:p w14:paraId="1482BD3E" w14:textId="30E5BF4A" w:rsidR="001E6D3A" w:rsidRPr="00923437" w:rsidRDefault="00B8114A" w:rsidP="001E6D3A">
            <w:pPr>
              <w:spacing w:line="240" w:lineRule="auto"/>
              <w:jc w:val="both"/>
              <w:rPr>
                <w:rFonts w:ascii="Cambria" w:hAnsi="Cambria"/>
                <w:b/>
                <w:sz w:val="20"/>
                <w:szCs w:val="20"/>
              </w:rPr>
            </w:pPr>
            <w:r w:rsidRPr="00923437">
              <w:rPr>
                <w:rFonts w:ascii="Cambria" w:hAnsi="Cambria"/>
                <w:b/>
                <w:sz w:val="20"/>
                <w:szCs w:val="20"/>
              </w:rPr>
              <w:t>Year</w:t>
            </w:r>
            <w:r w:rsidR="001E6D3A" w:rsidRPr="00923437">
              <w:rPr>
                <w:rFonts w:ascii="Cambria" w:hAnsi="Cambria"/>
                <w:b/>
                <w:sz w:val="20"/>
                <w:szCs w:val="20"/>
              </w:rPr>
              <w:t xml:space="preserve"> :</w:t>
            </w:r>
          </w:p>
          <w:p w14:paraId="3B2036D1" w14:textId="77777777" w:rsidR="001E6D3A" w:rsidRPr="00923437" w:rsidRDefault="001E6D3A" w:rsidP="001E6D3A">
            <w:pPr>
              <w:spacing w:line="240" w:lineRule="auto"/>
              <w:jc w:val="both"/>
              <w:rPr>
                <w:rFonts w:ascii="Cambria" w:hAnsi="Cambria"/>
                <w:sz w:val="20"/>
                <w:szCs w:val="20"/>
              </w:rPr>
            </w:pPr>
            <w:r w:rsidRPr="00923437">
              <w:rPr>
                <w:rFonts w:ascii="Cambria" w:hAnsi="Cambria"/>
                <w:sz w:val="20"/>
                <w:szCs w:val="20"/>
              </w:rPr>
              <w:t>2020</w:t>
            </w:r>
          </w:p>
          <w:p w14:paraId="76A29E01" w14:textId="6960A17D" w:rsidR="007D617A" w:rsidRPr="00923437" w:rsidRDefault="007D617A" w:rsidP="001E6D3A">
            <w:pPr>
              <w:spacing w:line="240" w:lineRule="auto"/>
              <w:jc w:val="both"/>
              <w:rPr>
                <w:rFonts w:ascii="Cambria" w:hAnsi="Cambria"/>
                <w:sz w:val="20"/>
                <w:szCs w:val="20"/>
              </w:rPr>
            </w:pPr>
          </w:p>
        </w:tc>
        <w:tc>
          <w:tcPr>
            <w:tcW w:w="1843" w:type="dxa"/>
            <w:tcBorders>
              <w:top w:val="single" w:sz="4" w:space="0" w:color="auto"/>
              <w:left w:val="nil"/>
              <w:bottom w:val="single" w:sz="4" w:space="0" w:color="auto"/>
              <w:right w:val="nil"/>
            </w:tcBorders>
            <w:shd w:val="clear" w:color="auto" w:fill="auto"/>
          </w:tcPr>
          <w:p w14:paraId="57948C31" w14:textId="77777777" w:rsidR="001E6D3A" w:rsidRPr="00923437" w:rsidRDefault="001E6D3A" w:rsidP="007D617A">
            <w:pPr>
              <w:spacing w:line="240" w:lineRule="auto"/>
              <w:jc w:val="center"/>
              <w:rPr>
                <w:rFonts w:ascii="Cambria" w:hAnsi="Cambria"/>
                <w:sz w:val="20"/>
                <w:szCs w:val="20"/>
              </w:rPr>
            </w:pPr>
            <w:r w:rsidRPr="00923437">
              <w:rPr>
                <w:rFonts w:ascii="Cambria" w:hAnsi="Cambria"/>
                <w:sz w:val="20"/>
                <w:szCs w:val="20"/>
              </w:rPr>
              <w:t>One Groups Pre test-Post test</w:t>
            </w:r>
          </w:p>
        </w:tc>
        <w:tc>
          <w:tcPr>
            <w:tcW w:w="2288" w:type="dxa"/>
            <w:tcBorders>
              <w:top w:val="single" w:sz="4" w:space="0" w:color="auto"/>
              <w:left w:val="nil"/>
              <w:bottom w:val="single" w:sz="4" w:space="0" w:color="auto"/>
              <w:right w:val="nil"/>
            </w:tcBorders>
            <w:shd w:val="clear" w:color="auto" w:fill="auto"/>
          </w:tcPr>
          <w:p w14:paraId="78D30924" w14:textId="79955F72" w:rsidR="001E6D3A" w:rsidRPr="00923437" w:rsidRDefault="00DB0358" w:rsidP="001E6D3A">
            <w:pPr>
              <w:spacing w:line="240" w:lineRule="auto"/>
              <w:jc w:val="both"/>
              <w:rPr>
                <w:rFonts w:ascii="Cambria" w:hAnsi="Cambria"/>
                <w:sz w:val="20"/>
                <w:szCs w:val="20"/>
              </w:rPr>
            </w:pPr>
            <w:r w:rsidRPr="00923437">
              <w:rPr>
                <w:rStyle w:val="q4iawc"/>
                <w:rFonts w:ascii="Cambria" w:hAnsi="Cambria"/>
                <w:sz w:val="20"/>
                <w:szCs w:val="20"/>
              </w:rPr>
              <w:t>The number of samples in this study was 21 people (March-November 2018) for the period before the use of AEWS and 12 people (March-November 2019) for the period after the use of AEWS.</w:t>
            </w:r>
            <w:r w:rsidRPr="00923437">
              <w:rPr>
                <w:rStyle w:val="viiyi"/>
                <w:rFonts w:ascii="Cambria" w:hAnsi="Cambria"/>
                <w:sz w:val="20"/>
                <w:szCs w:val="20"/>
              </w:rPr>
              <w:t xml:space="preserve"> </w:t>
            </w:r>
            <w:r w:rsidRPr="00923437">
              <w:rPr>
                <w:rStyle w:val="q4iawc"/>
                <w:rFonts w:ascii="Cambria" w:hAnsi="Cambria"/>
                <w:sz w:val="20"/>
                <w:szCs w:val="20"/>
              </w:rPr>
              <w:t>The tools used in data collection are observation sheets and medical record data.</w:t>
            </w:r>
          </w:p>
        </w:tc>
        <w:tc>
          <w:tcPr>
            <w:tcW w:w="2673" w:type="dxa"/>
            <w:tcBorders>
              <w:top w:val="single" w:sz="4" w:space="0" w:color="auto"/>
              <w:left w:val="nil"/>
              <w:bottom w:val="single" w:sz="4" w:space="0" w:color="auto"/>
              <w:right w:val="nil"/>
            </w:tcBorders>
            <w:shd w:val="clear" w:color="auto" w:fill="auto"/>
          </w:tcPr>
          <w:p w14:paraId="5312A602" w14:textId="3F4DE58A" w:rsidR="001E6D3A" w:rsidRPr="00923437" w:rsidRDefault="00DB0358" w:rsidP="001E6D3A">
            <w:pPr>
              <w:spacing w:line="240" w:lineRule="auto"/>
              <w:jc w:val="both"/>
              <w:rPr>
                <w:rFonts w:ascii="Cambria" w:hAnsi="Cambria"/>
                <w:sz w:val="20"/>
                <w:szCs w:val="20"/>
              </w:rPr>
            </w:pPr>
            <w:r w:rsidRPr="00923437">
              <w:rPr>
                <w:rStyle w:val="q4iawc"/>
                <w:rFonts w:ascii="Cambria" w:hAnsi="Cambria"/>
                <w:sz w:val="20"/>
                <w:szCs w:val="20"/>
              </w:rPr>
              <w:t>The mortality rate before the use of AEWS was included in the low category with a crude death of 8.8 per 1000 inpatient visits or as many as 21 people, while the mortality rate after the use of AEWS was included in the low category with a crude death of 3.2 per 1000 inpatient visits or as many as 12 people.</w:t>
            </w:r>
          </w:p>
        </w:tc>
      </w:tr>
      <w:tr w:rsidR="00923437" w:rsidRPr="00923437" w14:paraId="33E0671D" w14:textId="77777777" w:rsidTr="007D617A">
        <w:tc>
          <w:tcPr>
            <w:tcW w:w="567" w:type="dxa"/>
            <w:tcBorders>
              <w:top w:val="single" w:sz="4" w:space="0" w:color="auto"/>
              <w:left w:val="nil"/>
              <w:bottom w:val="single" w:sz="4" w:space="0" w:color="auto"/>
              <w:right w:val="nil"/>
            </w:tcBorders>
            <w:shd w:val="clear" w:color="auto" w:fill="auto"/>
          </w:tcPr>
          <w:p w14:paraId="3D439361" w14:textId="77777777" w:rsidR="001E6D3A" w:rsidRPr="00923437" w:rsidRDefault="001E6D3A" w:rsidP="007D617A">
            <w:pPr>
              <w:pStyle w:val="ListParagraph"/>
              <w:numPr>
                <w:ilvl w:val="0"/>
                <w:numId w:val="2"/>
              </w:numPr>
              <w:ind w:left="360"/>
              <w:jc w:val="center"/>
              <w:rPr>
                <w:rFonts w:ascii="Cambria" w:hAnsi="Cambria"/>
                <w:lang w:val="id-ID"/>
              </w:rPr>
            </w:pPr>
          </w:p>
        </w:tc>
        <w:tc>
          <w:tcPr>
            <w:tcW w:w="2410" w:type="dxa"/>
            <w:tcBorders>
              <w:top w:val="single" w:sz="4" w:space="0" w:color="auto"/>
              <w:left w:val="nil"/>
              <w:bottom w:val="single" w:sz="4" w:space="0" w:color="auto"/>
              <w:right w:val="nil"/>
            </w:tcBorders>
            <w:shd w:val="clear" w:color="auto" w:fill="auto"/>
          </w:tcPr>
          <w:p w14:paraId="6479C73A" w14:textId="5F9FB18F" w:rsidR="001E6D3A" w:rsidRPr="00923437" w:rsidRDefault="00B8114A" w:rsidP="001E6D3A">
            <w:pPr>
              <w:spacing w:line="240" w:lineRule="auto"/>
              <w:jc w:val="both"/>
              <w:rPr>
                <w:rFonts w:ascii="Cambria" w:hAnsi="Cambria"/>
                <w:b/>
                <w:sz w:val="20"/>
                <w:szCs w:val="20"/>
              </w:rPr>
            </w:pPr>
            <w:r w:rsidRPr="00923437">
              <w:rPr>
                <w:rFonts w:ascii="Cambria" w:hAnsi="Cambria"/>
                <w:b/>
                <w:sz w:val="20"/>
                <w:szCs w:val="20"/>
              </w:rPr>
              <w:t>Title</w:t>
            </w:r>
            <w:r w:rsidR="001E6D3A" w:rsidRPr="00923437">
              <w:rPr>
                <w:rFonts w:ascii="Cambria" w:hAnsi="Cambria"/>
                <w:b/>
                <w:sz w:val="20"/>
                <w:szCs w:val="20"/>
              </w:rPr>
              <w:t xml:space="preserve"> :</w:t>
            </w:r>
          </w:p>
          <w:p w14:paraId="2EDCF7DA" w14:textId="77777777" w:rsidR="001E6D3A" w:rsidRPr="00923437" w:rsidRDefault="001E6D3A" w:rsidP="001E6D3A">
            <w:pPr>
              <w:spacing w:line="240" w:lineRule="auto"/>
              <w:jc w:val="both"/>
              <w:rPr>
                <w:rFonts w:ascii="Cambria" w:hAnsi="Cambria"/>
                <w:sz w:val="20"/>
                <w:szCs w:val="20"/>
              </w:rPr>
            </w:pPr>
            <w:r w:rsidRPr="00923437">
              <w:rPr>
                <w:rFonts w:ascii="Cambria" w:hAnsi="Cambria"/>
                <w:sz w:val="20"/>
                <w:szCs w:val="20"/>
              </w:rPr>
              <w:t>Evaluasi Penerapan Early Warning Score Di Ruang Rawat Inap Dewasa</w:t>
            </w:r>
          </w:p>
          <w:p w14:paraId="6E1D42BB" w14:textId="77777777" w:rsidR="001E6D3A" w:rsidRPr="00923437" w:rsidRDefault="001E6D3A" w:rsidP="001E6D3A">
            <w:pPr>
              <w:spacing w:line="240" w:lineRule="auto"/>
              <w:jc w:val="both"/>
              <w:rPr>
                <w:rFonts w:ascii="Cambria" w:hAnsi="Cambria"/>
                <w:sz w:val="20"/>
                <w:szCs w:val="20"/>
              </w:rPr>
            </w:pPr>
          </w:p>
          <w:p w14:paraId="7395E648" w14:textId="35805620" w:rsidR="001E6D3A" w:rsidRPr="00923437" w:rsidRDefault="00B8114A" w:rsidP="001E6D3A">
            <w:pPr>
              <w:spacing w:line="240" w:lineRule="auto"/>
              <w:jc w:val="both"/>
              <w:rPr>
                <w:rFonts w:ascii="Cambria" w:hAnsi="Cambria"/>
                <w:b/>
                <w:bCs/>
                <w:sz w:val="20"/>
                <w:szCs w:val="20"/>
              </w:rPr>
            </w:pPr>
            <w:r w:rsidRPr="00923437">
              <w:rPr>
                <w:rFonts w:ascii="Cambria" w:hAnsi="Cambria"/>
                <w:b/>
                <w:bCs/>
                <w:sz w:val="20"/>
                <w:szCs w:val="20"/>
              </w:rPr>
              <w:t>Author</w:t>
            </w:r>
            <w:r w:rsidR="001E6D3A" w:rsidRPr="00923437">
              <w:rPr>
                <w:rFonts w:ascii="Cambria" w:hAnsi="Cambria"/>
                <w:b/>
                <w:bCs/>
                <w:sz w:val="20"/>
                <w:szCs w:val="20"/>
              </w:rPr>
              <w:t xml:space="preserve"> :</w:t>
            </w:r>
          </w:p>
          <w:p w14:paraId="58B05D27" w14:textId="77777777" w:rsidR="001E6D3A" w:rsidRPr="00923437" w:rsidRDefault="001E6D3A" w:rsidP="001E6D3A">
            <w:pPr>
              <w:spacing w:line="240" w:lineRule="auto"/>
              <w:jc w:val="both"/>
              <w:rPr>
                <w:rFonts w:ascii="Cambria" w:hAnsi="Cambria"/>
                <w:sz w:val="20"/>
                <w:szCs w:val="20"/>
              </w:rPr>
            </w:pPr>
            <w:r w:rsidRPr="00923437">
              <w:rPr>
                <w:rFonts w:ascii="Cambria" w:hAnsi="Cambria"/>
                <w:sz w:val="20"/>
                <w:szCs w:val="20"/>
              </w:rPr>
              <w:t>Sri Wulan Megawati , R.Siti Jundiah , Nur Intan HHK , Rizki Muliani</w:t>
            </w:r>
          </w:p>
          <w:p w14:paraId="00F28AE5" w14:textId="77777777" w:rsidR="001E6D3A" w:rsidRPr="00923437" w:rsidRDefault="001E6D3A" w:rsidP="001E6D3A">
            <w:pPr>
              <w:spacing w:line="240" w:lineRule="auto"/>
              <w:jc w:val="both"/>
              <w:rPr>
                <w:rFonts w:ascii="Cambria" w:hAnsi="Cambria"/>
                <w:sz w:val="20"/>
                <w:szCs w:val="20"/>
              </w:rPr>
            </w:pPr>
            <w:r w:rsidRPr="00923437">
              <w:rPr>
                <w:rFonts w:ascii="Cambria" w:hAnsi="Cambria"/>
                <w:sz w:val="20"/>
                <w:szCs w:val="20"/>
              </w:rPr>
              <w:t xml:space="preserve"> </w:t>
            </w:r>
          </w:p>
          <w:p w14:paraId="73C731FA" w14:textId="04D506E4" w:rsidR="001E6D3A" w:rsidRPr="00923437" w:rsidRDefault="00B8114A" w:rsidP="001E6D3A">
            <w:pPr>
              <w:spacing w:line="240" w:lineRule="auto"/>
              <w:jc w:val="both"/>
              <w:rPr>
                <w:rFonts w:ascii="Cambria" w:hAnsi="Cambria"/>
                <w:b/>
                <w:sz w:val="20"/>
                <w:szCs w:val="20"/>
              </w:rPr>
            </w:pPr>
            <w:r w:rsidRPr="00923437">
              <w:rPr>
                <w:rFonts w:ascii="Cambria" w:hAnsi="Cambria"/>
                <w:b/>
                <w:sz w:val="20"/>
                <w:szCs w:val="20"/>
              </w:rPr>
              <w:t>Year</w:t>
            </w:r>
            <w:r w:rsidR="001E6D3A" w:rsidRPr="00923437">
              <w:rPr>
                <w:rFonts w:ascii="Cambria" w:hAnsi="Cambria"/>
                <w:b/>
                <w:sz w:val="20"/>
                <w:szCs w:val="20"/>
              </w:rPr>
              <w:t xml:space="preserve"> :</w:t>
            </w:r>
          </w:p>
          <w:p w14:paraId="28BB3906" w14:textId="77777777" w:rsidR="001E6D3A" w:rsidRPr="00923437" w:rsidRDefault="001E6D3A" w:rsidP="001E6D3A">
            <w:pPr>
              <w:spacing w:line="240" w:lineRule="auto"/>
              <w:jc w:val="both"/>
              <w:rPr>
                <w:rFonts w:ascii="Cambria" w:hAnsi="Cambria"/>
                <w:sz w:val="20"/>
                <w:szCs w:val="20"/>
              </w:rPr>
            </w:pPr>
            <w:r w:rsidRPr="00923437">
              <w:rPr>
                <w:rFonts w:ascii="Cambria" w:hAnsi="Cambria"/>
                <w:sz w:val="20"/>
                <w:szCs w:val="20"/>
              </w:rPr>
              <w:t>2021</w:t>
            </w:r>
          </w:p>
          <w:p w14:paraId="3BD54C44" w14:textId="7FC0F671" w:rsidR="007D617A" w:rsidRPr="00923437" w:rsidRDefault="007D617A" w:rsidP="001E6D3A">
            <w:pPr>
              <w:spacing w:line="240" w:lineRule="auto"/>
              <w:jc w:val="both"/>
              <w:rPr>
                <w:rFonts w:ascii="Cambria" w:hAnsi="Cambria"/>
                <w:sz w:val="20"/>
                <w:szCs w:val="20"/>
              </w:rPr>
            </w:pPr>
          </w:p>
        </w:tc>
        <w:tc>
          <w:tcPr>
            <w:tcW w:w="1843" w:type="dxa"/>
            <w:tcBorders>
              <w:top w:val="single" w:sz="4" w:space="0" w:color="auto"/>
              <w:left w:val="nil"/>
              <w:bottom w:val="single" w:sz="4" w:space="0" w:color="auto"/>
              <w:right w:val="nil"/>
            </w:tcBorders>
            <w:shd w:val="clear" w:color="auto" w:fill="auto"/>
          </w:tcPr>
          <w:p w14:paraId="00DBA93E" w14:textId="77777777" w:rsidR="001E6D3A" w:rsidRPr="00923437" w:rsidRDefault="001E6D3A" w:rsidP="007D617A">
            <w:pPr>
              <w:spacing w:line="240" w:lineRule="auto"/>
              <w:jc w:val="center"/>
              <w:rPr>
                <w:rFonts w:ascii="Cambria" w:hAnsi="Cambria"/>
                <w:sz w:val="20"/>
                <w:szCs w:val="20"/>
              </w:rPr>
            </w:pPr>
            <w:r w:rsidRPr="00923437">
              <w:rPr>
                <w:rFonts w:ascii="Cambria" w:hAnsi="Cambria"/>
                <w:sz w:val="20"/>
                <w:szCs w:val="20"/>
              </w:rPr>
              <w:t>Quasi Experimental</w:t>
            </w:r>
          </w:p>
        </w:tc>
        <w:tc>
          <w:tcPr>
            <w:tcW w:w="2288" w:type="dxa"/>
            <w:tcBorders>
              <w:top w:val="single" w:sz="4" w:space="0" w:color="auto"/>
              <w:left w:val="nil"/>
              <w:bottom w:val="single" w:sz="4" w:space="0" w:color="auto"/>
              <w:right w:val="nil"/>
            </w:tcBorders>
            <w:shd w:val="clear" w:color="auto" w:fill="auto"/>
          </w:tcPr>
          <w:p w14:paraId="05F86F84" w14:textId="1A909662" w:rsidR="001E6D3A" w:rsidRPr="00923437" w:rsidRDefault="007D617A" w:rsidP="001E6D3A">
            <w:pPr>
              <w:spacing w:line="240" w:lineRule="auto"/>
              <w:jc w:val="both"/>
              <w:rPr>
                <w:rFonts w:ascii="Cambria" w:hAnsi="Cambria"/>
                <w:sz w:val="20"/>
                <w:szCs w:val="20"/>
              </w:rPr>
            </w:pPr>
            <w:r w:rsidRPr="00923437">
              <w:rPr>
                <w:rStyle w:val="q4iawc"/>
                <w:rFonts w:ascii="Cambria" w:hAnsi="Cambria"/>
                <w:sz w:val="20"/>
                <w:szCs w:val="20"/>
              </w:rPr>
              <w:t>The sample in this study was 245 patients. Data collection was carried out during the period (1 month) between 6 August – 6 September 2020.</w:t>
            </w:r>
          </w:p>
        </w:tc>
        <w:tc>
          <w:tcPr>
            <w:tcW w:w="2673" w:type="dxa"/>
            <w:tcBorders>
              <w:top w:val="single" w:sz="4" w:space="0" w:color="auto"/>
              <w:left w:val="nil"/>
              <w:bottom w:val="single" w:sz="4" w:space="0" w:color="auto"/>
              <w:right w:val="nil"/>
            </w:tcBorders>
            <w:shd w:val="clear" w:color="auto" w:fill="auto"/>
          </w:tcPr>
          <w:p w14:paraId="26DAD314" w14:textId="4D84B60A" w:rsidR="001E6D3A" w:rsidRPr="00923437" w:rsidRDefault="00DB0358" w:rsidP="001E6D3A">
            <w:pPr>
              <w:spacing w:line="240" w:lineRule="auto"/>
              <w:jc w:val="both"/>
              <w:rPr>
                <w:rFonts w:ascii="Cambria" w:hAnsi="Cambria"/>
                <w:sz w:val="20"/>
                <w:szCs w:val="20"/>
              </w:rPr>
            </w:pPr>
            <w:r w:rsidRPr="00923437">
              <w:rPr>
                <w:rStyle w:val="q4iawc"/>
                <w:rFonts w:ascii="Cambria" w:hAnsi="Cambria"/>
                <w:sz w:val="20"/>
                <w:szCs w:val="20"/>
              </w:rPr>
              <w:t>The implementation of EWS in hospitals has not been carried out properly, it can be seen from the results that all documented patient EWS sheets are incomplete.</w:t>
            </w:r>
          </w:p>
        </w:tc>
      </w:tr>
      <w:tr w:rsidR="00923437" w:rsidRPr="00923437" w14:paraId="51785984" w14:textId="77777777" w:rsidTr="007D617A">
        <w:tc>
          <w:tcPr>
            <w:tcW w:w="567" w:type="dxa"/>
            <w:tcBorders>
              <w:top w:val="single" w:sz="4" w:space="0" w:color="auto"/>
              <w:left w:val="nil"/>
              <w:bottom w:val="single" w:sz="4" w:space="0" w:color="auto"/>
              <w:right w:val="nil"/>
            </w:tcBorders>
            <w:shd w:val="clear" w:color="auto" w:fill="auto"/>
          </w:tcPr>
          <w:p w14:paraId="42E08A9B" w14:textId="77777777" w:rsidR="001E6D3A" w:rsidRPr="00923437" w:rsidRDefault="001E6D3A" w:rsidP="007D617A">
            <w:pPr>
              <w:pStyle w:val="ListParagraph"/>
              <w:numPr>
                <w:ilvl w:val="0"/>
                <w:numId w:val="2"/>
              </w:numPr>
              <w:ind w:left="360"/>
              <w:jc w:val="center"/>
              <w:rPr>
                <w:rFonts w:ascii="Cambria" w:hAnsi="Cambria"/>
                <w:lang w:val="id-ID"/>
              </w:rPr>
            </w:pPr>
          </w:p>
        </w:tc>
        <w:tc>
          <w:tcPr>
            <w:tcW w:w="2410" w:type="dxa"/>
            <w:tcBorders>
              <w:top w:val="single" w:sz="4" w:space="0" w:color="auto"/>
              <w:left w:val="nil"/>
              <w:bottom w:val="single" w:sz="4" w:space="0" w:color="auto"/>
              <w:right w:val="nil"/>
            </w:tcBorders>
            <w:shd w:val="clear" w:color="auto" w:fill="auto"/>
          </w:tcPr>
          <w:p w14:paraId="3B322DF2" w14:textId="1B3FA11F" w:rsidR="001E6D3A" w:rsidRPr="00923437" w:rsidRDefault="00B8114A" w:rsidP="001E6D3A">
            <w:pPr>
              <w:spacing w:line="240" w:lineRule="auto"/>
              <w:jc w:val="both"/>
              <w:rPr>
                <w:rFonts w:ascii="Cambria" w:hAnsi="Cambria"/>
                <w:b/>
                <w:sz w:val="20"/>
                <w:szCs w:val="20"/>
              </w:rPr>
            </w:pPr>
            <w:r w:rsidRPr="00923437">
              <w:rPr>
                <w:rFonts w:ascii="Cambria" w:hAnsi="Cambria"/>
                <w:b/>
                <w:sz w:val="20"/>
                <w:szCs w:val="20"/>
              </w:rPr>
              <w:t>Title</w:t>
            </w:r>
            <w:r w:rsidR="001E6D3A" w:rsidRPr="00923437">
              <w:rPr>
                <w:rFonts w:ascii="Cambria" w:hAnsi="Cambria"/>
                <w:b/>
                <w:sz w:val="20"/>
                <w:szCs w:val="20"/>
              </w:rPr>
              <w:t xml:space="preserve"> :</w:t>
            </w:r>
          </w:p>
          <w:p w14:paraId="0F195F9B" w14:textId="7DC18583" w:rsidR="001E6D3A" w:rsidRPr="00923437" w:rsidRDefault="001E6D3A" w:rsidP="001E6D3A">
            <w:pPr>
              <w:spacing w:line="240" w:lineRule="auto"/>
              <w:jc w:val="both"/>
              <w:rPr>
                <w:rFonts w:ascii="Cambria" w:hAnsi="Cambria"/>
                <w:sz w:val="20"/>
                <w:szCs w:val="20"/>
              </w:rPr>
            </w:pPr>
            <w:r w:rsidRPr="00923437">
              <w:rPr>
                <w:rFonts w:ascii="Cambria" w:hAnsi="Cambria"/>
                <w:sz w:val="20"/>
                <w:szCs w:val="20"/>
              </w:rPr>
              <w:t>Adjusting Early Warning Score by clinical assessment: a study protocol for a Danish cluster- randomised, multicentre study of an Individual Early Warning Score (I-EWS)</w:t>
            </w:r>
          </w:p>
          <w:p w14:paraId="5B7563BF" w14:textId="77777777" w:rsidR="001E6D3A" w:rsidRPr="00923437" w:rsidRDefault="001E6D3A" w:rsidP="001E6D3A">
            <w:pPr>
              <w:spacing w:line="240" w:lineRule="auto"/>
              <w:jc w:val="both"/>
              <w:rPr>
                <w:rFonts w:ascii="Cambria" w:hAnsi="Cambria"/>
                <w:sz w:val="20"/>
                <w:szCs w:val="20"/>
              </w:rPr>
            </w:pPr>
          </w:p>
          <w:p w14:paraId="41807732" w14:textId="7886B213" w:rsidR="001E6D3A" w:rsidRPr="00923437" w:rsidRDefault="00B8114A" w:rsidP="001E6D3A">
            <w:pPr>
              <w:spacing w:line="240" w:lineRule="auto"/>
              <w:jc w:val="both"/>
              <w:rPr>
                <w:rFonts w:ascii="Cambria" w:hAnsi="Cambria"/>
                <w:b/>
                <w:bCs/>
                <w:sz w:val="20"/>
                <w:szCs w:val="20"/>
              </w:rPr>
            </w:pPr>
            <w:r w:rsidRPr="00923437">
              <w:rPr>
                <w:rFonts w:ascii="Cambria" w:hAnsi="Cambria"/>
                <w:b/>
                <w:bCs/>
                <w:sz w:val="20"/>
                <w:szCs w:val="20"/>
              </w:rPr>
              <w:t>Author</w:t>
            </w:r>
            <w:r w:rsidR="001E6D3A" w:rsidRPr="00923437">
              <w:rPr>
                <w:rFonts w:ascii="Cambria" w:hAnsi="Cambria"/>
                <w:b/>
                <w:bCs/>
                <w:sz w:val="20"/>
                <w:szCs w:val="20"/>
              </w:rPr>
              <w:t xml:space="preserve"> : </w:t>
            </w:r>
          </w:p>
          <w:p w14:paraId="786986B6" w14:textId="77777777" w:rsidR="001E6D3A" w:rsidRPr="00923437" w:rsidRDefault="001E6D3A" w:rsidP="001E6D3A">
            <w:pPr>
              <w:spacing w:line="240" w:lineRule="auto"/>
              <w:jc w:val="both"/>
              <w:rPr>
                <w:rFonts w:ascii="Cambria" w:hAnsi="Cambria"/>
                <w:sz w:val="20"/>
                <w:szCs w:val="20"/>
              </w:rPr>
            </w:pPr>
            <w:r w:rsidRPr="00923437">
              <w:rPr>
                <w:rFonts w:ascii="Cambria" w:hAnsi="Cambria"/>
                <w:sz w:val="20"/>
                <w:szCs w:val="20"/>
              </w:rPr>
              <w:t>Pernille B Nielsen    , Martin Schultz, Caroline Sophie Langkjaer, Anne Marie Kodal, Niels Egholm Pedersen,John Asger Petersen, Theis Lange, Michael Dan Arvig,Christian Sahlholt Meyhoff, Morten Bestle</w:t>
            </w:r>
          </w:p>
          <w:p w14:paraId="0361F440" w14:textId="77777777" w:rsidR="001E6D3A" w:rsidRPr="00923437" w:rsidRDefault="001E6D3A" w:rsidP="001E6D3A">
            <w:pPr>
              <w:spacing w:line="240" w:lineRule="auto"/>
              <w:jc w:val="both"/>
              <w:rPr>
                <w:rFonts w:ascii="Cambria" w:hAnsi="Cambria"/>
                <w:sz w:val="20"/>
                <w:szCs w:val="20"/>
              </w:rPr>
            </w:pPr>
          </w:p>
          <w:p w14:paraId="5FE3DFBD" w14:textId="79F3E751" w:rsidR="001E6D3A" w:rsidRPr="00923437" w:rsidRDefault="00B8114A" w:rsidP="001E6D3A">
            <w:pPr>
              <w:spacing w:line="240" w:lineRule="auto"/>
              <w:jc w:val="both"/>
              <w:rPr>
                <w:rFonts w:ascii="Cambria" w:hAnsi="Cambria"/>
                <w:b/>
                <w:sz w:val="20"/>
                <w:szCs w:val="20"/>
              </w:rPr>
            </w:pPr>
            <w:r w:rsidRPr="00923437">
              <w:rPr>
                <w:rFonts w:ascii="Cambria" w:hAnsi="Cambria"/>
                <w:b/>
                <w:sz w:val="20"/>
                <w:szCs w:val="20"/>
              </w:rPr>
              <w:t>Year</w:t>
            </w:r>
            <w:r w:rsidR="001E6D3A" w:rsidRPr="00923437">
              <w:rPr>
                <w:rFonts w:ascii="Cambria" w:hAnsi="Cambria"/>
                <w:b/>
                <w:sz w:val="20"/>
                <w:szCs w:val="20"/>
              </w:rPr>
              <w:t xml:space="preserve"> :</w:t>
            </w:r>
          </w:p>
          <w:p w14:paraId="24EBA90C" w14:textId="77777777" w:rsidR="001E6D3A" w:rsidRPr="00923437" w:rsidRDefault="001E6D3A" w:rsidP="001E6D3A">
            <w:pPr>
              <w:spacing w:line="240" w:lineRule="auto"/>
              <w:jc w:val="both"/>
              <w:rPr>
                <w:rFonts w:ascii="Cambria" w:hAnsi="Cambria"/>
                <w:sz w:val="20"/>
                <w:szCs w:val="20"/>
              </w:rPr>
            </w:pPr>
            <w:r w:rsidRPr="00923437">
              <w:rPr>
                <w:rFonts w:ascii="Cambria" w:hAnsi="Cambria"/>
                <w:sz w:val="20"/>
                <w:szCs w:val="20"/>
              </w:rPr>
              <w:t>2020</w:t>
            </w:r>
          </w:p>
          <w:p w14:paraId="440B411B" w14:textId="042BF1E6" w:rsidR="007D617A" w:rsidRPr="00923437" w:rsidRDefault="007D617A" w:rsidP="001E6D3A">
            <w:pPr>
              <w:spacing w:line="240" w:lineRule="auto"/>
              <w:jc w:val="both"/>
              <w:rPr>
                <w:rFonts w:ascii="Cambria" w:hAnsi="Cambria"/>
                <w:sz w:val="20"/>
                <w:szCs w:val="20"/>
              </w:rPr>
            </w:pPr>
          </w:p>
        </w:tc>
        <w:tc>
          <w:tcPr>
            <w:tcW w:w="1843" w:type="dxa"/>
            <w:tcBorders>
              <w:top w:val="single" w:sz="4" w:space="0" w:color="auto"/>
              <w:left w:val="nil"/>
              <w:bottom w:val="single" w:sz="4" w:space="0" w:color="auto"/>
              <w:right w:val="nil"/>
            </w:tcBorders>
            <w:shd w:val="clear" w:color="auto" w:fill="auto"/>
          </w:tcPr>
          <w:p w14:paraId="7ECD94C7" w14:textId="77777777" w:rsidR="001E6D3A" w:rsidRPr="00923437" w:rsidRDefault="001E6D3A" w:rsidP="007D617A">
            <w:pPr>
              <w:spacing w:line="240" w:lineRule="auto"/>
              <w:jc w:val="center"/>
              <w:rPr>
                <w:rFonts w:ascii="Cambria" w:hAnsi="Cambria"/>
                <w:sz w:val="20"/>
                <w:szCs w:val="20"/>
              </w:rPr>
            </w:pPr>
            <w:r w:rsidRPr="00923437">
              <w:rPr>
                <w:rFonts w:ascii="Cambria" w:hAnsi="Cambria"/>
                <w:sz w:val="20"/>
                <w:szCs w:val="20"/>
              </w:rPr>
              <w:t>Quasi</w:t>
            </w:r>
          </w:p>
          <w:p w14:paraId="2FD18CAE" w14:textId="77777777" w:rsidR="001E6D3A" w:rsidRPr="00923437" w:rsidRDefault="001E6D3A" w:rsidP="007D617A">
            <w:pPr>
              <w:spacing w:line="240" w:lineRule="auto"/>
              <w:jc w:val="center"/>
              <w:rPr>
                <w:rFonts w:ascii="Cambria" w:hAnsi="Cambria"/>
                <w:sz w:val="20"/>
                <w:szCs w:val="20"/>
              </w:rPr>
            </w:pPr>
            <w:r w:rsidRPr="00923437">
              <w:rPr>
                <w:rFonts w:ascii="Cambria" w:hAnsi="Cambria"/>
                <w:sz w:val="20"/>
                <w:szCs w:val="20"/>
              </w:rPr>
              <w:t>Experimental</w:t>
            </w:r>
          </w:p>
        </w:tc>
        <w:tc>
          <w:tcPr>
            <w:tcW w:w="2288" w:type="dxa"/>
            <w:tcBorders>
              <w:top w:val="single" w:sz="4" w:space="0" w:color="auto"/>
              <w:left w:val="nil"/>
              <w:bottom w:val="single" w:sz="4" w:space="0" w:color="auto"/>
              <w:right w:val="nil"/>
            </w:tcBorders>
            <w:shd w:val="clear" w:color="auto" w:fill="auto"/>
          </w:tcPr>
          <w:p w14:paraId="150EC8C1" w14:textId="3C0DF01E" w:rsidR="001E6D3A" w:rsidRPr="00923437" w:rsidRDefault="001E6D3A" w:rsidP="001E6D3A">
            <w:pPr>
              <w:spacing w:line="240" w:lineRule="auto"/>
              <w:jc w:val="both"/>
              <w:rPr>
                <w:rFonts w:ascii="Cambria" w:hAnsi="Cambria"/>
                <w:sz w:val="20"/>
                <w:szCs w:val="20"/>
              </w:rPr>
            </w:pPr>
            <w:r w:rsidRPr="00923437">
              <w:rPr>
                <w:rFonts w:ascii="Cambria" w:hAnsi="Cambria"/>
                <w:sz w:val="20"/>
                <w:szCs w:val="20"/>
              </w:rPr>
              <w:t>The main hypothesis is that I-EWS will be non- inferior to the existing NEWS algorithm regarding 30- day mortality but the addition of clinical assessment in the I-EWS results in lower scores, fewer escalations, and consequently that patients on average are scored fewer times per day when I-EWS is used rather than NEWS.</w:t>
            </w:r>
          </w:p>
        </w:tc>
        <w:tc>
          <w:tcPr>
            <w:tcW w:w="2673" w:type="dxa"/>
            <w:tcBorders>
              <w:top w:val="single" w:sz="4" w:space="0" w:color="auto"/>
              <w:left w:val="nil"/>
              <w:bottom w:val="single" w:sz="4" w:space="0" w:color="auto"/>
              <w:right w:val="nil"/>
            </w:tcBorders>
            <w:shd w:val="clear" w:color="auto" w:fill="auto"/>
          </w:tcPr>
          <w:p w14:paraId="733849E9" w14:textId="2A76F409" w:rsidR="001E6D3A" w:rsidRPr="00923437" w:rsidRDefault="001E6D3A" w:rsidP="001E6D3A">
            <w:pPr>
              <w:spacing w:line="240" w:lineRule="auto"/>
              <w:jc w:val="both"/>
              <w:rPr>
                <w:rFonts w:ascii="Cambria" w:hAnsi="Cambria"/>
                <w:sz w:val="20"/>
                <w:szCs w:val="20"/>
              </w:rPr>
            </w:pPr>
            <w:r w:rsidRPr="00923437">
              <w:rPr>
                <w:rFonts w:ascii="Cambria" w:hAnsi="Cambria"/>
                <w:sz w:val="20"/>
                <w:szCs w:val="20"/>
              </w:rPr>
              <w:t>The I-EWS study investigates the effect of integrating a clinical assessment on mortality in a head to head compar- ison with the internationally used NEWS, which includes the opportunity to use CROS. Caring for the right patient at the right time could possibly allow for reallocation of resources. If our hypothesis is confirmed, considerations should be given towards allowing nursing staff to include their clinical assessment in TTS.</w:t>
            </w:r>
          </w:p>
        </w:tc>
      </w:tr>
      <w:tr w:rsidR="00923437" w:rsidRPr="00923437" w14:paraId="515816C6" w14:textId="77777777" w:rsidTr="007D617A">
        <w:tc>
          <w:tcPr>
            <w:tcW w:w="567" w:type="dxa"/>
            <w:tcBorders>
              <w:top w:val="single" w:sz="4" w:space="0" w:color="auto"/>
              <w:left w:val="nil"/>
              <w:bottom w:val="nil"/>
              <w:right w:val="nil"/>
            </w:tcBorders>
            <w:shd w:val="clear" w:color="auto" w:fill="auto"/>
          </w:tcPr>
          <w:p w14:paraId="110F101F" w14:textId="77777777" w:rsidR="001E6D3A" w:rsidRPr="00923437" w:rsidRDefault="001E6D3A" w:rsidP="007D617A">
            <w:pPr>
              <w:pStyle w:val="ListParagraph"/>
              <w:numPr>
                <w:ilvl w:val="0"/>
                <w:numId w:val="2"/>
              </w:numPr>
              <w:ind w:left="360"/>
              <w:jc w:val="center"/>
              <w:rPr>
                <w:rFonts w:ascii="Cambria" w:hAnsi="Cambria"/>
                <w:lang w:val="id-ID"/>
              </w:rPr>
            </w:pPr>
          </w:p>
        </w:tc>
        <w:tc>
          <w:tcPr>
            <w:tcW w:w="2410" w:type="dxa"/>
            <w:tcBorders>
              <w:top w:val="single" w:sz="4" w:space="0" w:color="auto"/>
              <w:left w:val="nil"/>
              <w:bottom w:val="nil"/>
              <w:right w:val="nil"/>
            </w:tcBorders>
            <w:shd w:val="clear" w:color="auto" w:fill="auto"/>
          </w:tcPr>
          <w:p w14:paraId="09EA2FB6" w14:textId="008F4E64" w:rsidR="001E6D3A" w:rsidRPr="00923437" w:rsidRDefault="00B8114A" w:rsidP="001E6D3A">
            <w:pPr>
              <w:spacing w:line="240" w:lineRule="auto"/>
              <w:jc w:val="both"/>
              <w:rPr>
                <w:rFonts w:ascii="Cambria" w:hAnsi="Cambria"/>
                <w:b/>
                <w:sz w:val="20"/>
                <w:szCs w:val="20"/>
              </w:rPr>
            </w:pPr>
            <w:r w:rsidRPr="00923437">
              <w:rPr>
                <w:rFonts w:ascii="Cambria" w:hAnsi="Cambria"/>
                <w:b/>
                <w:sz w:val="20"/>
                <w:szCs w:val="20"/>
              </w:rPr>
              <w:t>Title</w:t>
            </w:r>
            <w:r w:rsidR="001E6D3A" w:rsidRPr="00923437">
              <w:rPr>
                <w:rFonts w:ascii="Cambria" w:hAnsi="Cambria"/>
                <w:b/>
                <w:sz w:val="20"/>
                <w:szCs w:val="20"/>
              </w:rPr>
              <w:t xml:space="preserve"> :</w:t>
            </w:r>
          </w:p>
          <w:p w14:paraId="7835004D" w14:textId="1029F27F" w:rsidR="001E6D3A" w:rsidRPr="00923437" w:rsidRDefault="001E6D3A" w:rsidP="001E6D3A">
            <w:pPr>
              <w:spacing w:line="240" w:lineRule="auto"/>
              <w:jc w:val="both"/>
            </w:pPr>
            <w:r w:rsidRPr="00923437">
              <w:rPr>
                <w:rFonts w:ascii="Cambria" w:hAnsi="Cambria"/>
                <w:sz w:val="20"/>
                <w:szCs w:val="20"/>
              </w:rPr>
              <w:t>Evaluation of the Initial General Ward Early Warning Score and ICU Admission, Hospital Length of Stay and Mortality</w:t>
            </w:r>
            <w:r w:rsidR="00DB0358" w:rsidRPr="00923437">
              <w:rPr>
                <w:rFonts w:ascii="Cambria" w:hAnsi="Cambria"/>
                <w:sz w:val="20"/>
                <w:szCs w:val="20"/>
              </w:rPr>
              <w:t>.</w:t>
            </w:r>
          </w:p>
          <w:p w14:paraId="3448B25A" w14:textId="77777777" w:rsidR="00DB0358" w:rsidRPr="00923437" w:rsidRDefault="00DB0358" w:rsidP="001E6D3A">
            <w:pPr>
              <w:spacing w:line="240" w:lineRule="auto"/>
              <w:jc w:val="both"/>
              <w:rPr>
                <w:rFonts w:ascii="Cambria" w:hAnsi="Cambria"/>
                <w:sz w:val="20"/>
                <w:szCs w:val="20"/>
              </w:rPr>
            </w:pPr>
          </w:p>
          <w:p w14:paraId="24598A1A" w14:textId="29BEC55F" w:rsidR="001E6D3A" w:rsidRPr="00923437" w:rsidRDefault="00B8114A" w:rsidP="001E6D3A">
            <w:pPr>
              <w:spacing w:line="240" w:lineRule="auto"/>
              <w:jc w:val="both"/>
              <w:rPr>
                <w:rFonts w:ascii="Cambria" w:hAnsi="Cambria"/>
                <w:b/>
                <w:sz w:val="20"/>
                <w:szCs w:val="20"/>
              </w:rPr>
            </w:pPr>
            <w:r w:rsidRPr="00923437">
              <w:rPr>
                <w:rFonts w:ascii="Cambria" w:hAnsi="Cambria"/>
                <w:b/>
                <w:sz w:val="20"/>
                <w:szCs w:val="20"/>
              </w:rPr>
              <w:t>Author</w:t>
            </w:r>
            <w:r w:rsidR="001E6D3A" w:rsidRPr="00923437">
              <w:rPr>
                <w:rFonts w:ascii="Cambria" w:hAnsi="Cambria"/>
                <w:b/>
                <w:sz w:val="20"/>
                <w:szCs w:val="20"/>
              </w:rPr>
              <w:t xml:space="preserve"> :</w:t>
            </w:r>
          </w:p>
          <w:p w14:paraId="1A13D24D" w14:textId="77777777" w:rsidR="001E6D3A" w:rsidRPr="00923437" w:rsidRDefault="001E6D3A" w:rsidP="001E6D3A">
            <w:pPr>
              <w:spacing w:line="240" w:lineRule="auto"/>
              <w:jc w:val="both"/>
              <w:rPr>
                <w:rFonts w:ascii="Cambria" w:hAnsi="Cambria"/>
                <w:sz w:val="20"/>
                <w:szCs w:val="20"/>
              </w:rPr>
            </w:pPr>
            <w:r w:rsidRPr="00923437">
              <w:rPr>
                <w:rFonts w:ascii="Cambria" w:hAnsi="Cambria"/>
                <w:sz w:val="20"/>
                <w:szCs w:val="20"/>
              </w:rPr>
              <w:t>Anneke Gielen, MD Kristine Koekkoek, MD Marijke van der Steen, MD Martijn-Looijen, BSc, Arthur R.H. van Zanten, MD, PhD</w:t>
            </w:r>
          </w:p>
          <w:p w14:paraId="0577990F" w14:textId="77777777" w:rsidR="001E6D3A" w:rsidRPr="00923437" w:rsidRDefault="001E6D3A" w:rsidP="001E6D3A">
            <w:pPr>
              <w:spacing w:line="240" w:lineRule="auto"/>
              <w:jc w:val="both"/>
              <w:rPr>
                <w:rFonts w:ascii="Cambria" w:hAnsi="Cambria"/>
                <w:sz w:val="20"/>
                <w:szCs w:val="20"/>
              </w:rPr>
            </w:pPr>
          </w:p>
          <w:p w14:paraId="58379A0E" w14:textId="57F19A57" w:rsidR="001E6D3A" w:rsidRPr="00923437" w:rsidRDefault="00B8114A" w:rsidP="001E6D3A">
            <w:pPr>
              <w:spacing w:line="240" w:lineRule="auto"/>
              <w:jc w:val="both"/>
              <w:rPr>
                <w:rFonts w:ascii="Cambria" w:hAnsi="Cambria"/>
                <w:b/>
                <w:sz w:val="20"/>
                <w:szCs w:val="20"/>
              </w:rPr>
            </w:pPr>
            <w:r w:rsidRPr="00923437">
              <w:rPr>
                <w:rFonts w:ascii="Cambria" w:hAnsi="Cambria"/>
                <w:b/>
                <w:sz w:val="20"/>
                <w:szCs w:val="20"/>
              </w:rPr>
              <w:t>Year</w:t>
            </w:r>
            <w:r w:rsidR="001E6D3A" w:rsidRPr="00923437">
              <w:rPr>
                <w:rFonts w:ascii="Cambria" w:hAnsi="Cambria"/>
                <w:b/>
                <w:sz w:val="20"/>
                <w:szCs w:val="20"/>
              </w:rPr>
              <w:t xml:space="preserve"> :</w:t>
            </w:r>
          </w:p>
          <w:p w14:paraId="681E0178" w14:textId="77777777" w:rsidR="001E6D3A" w:rsidRPr="00923437" w:rsidRDefault="001E6D3A" w:rsidP="001E6D3A">
            <w:pPr>
              <w:spacing w:line="240" w:lineRule="auto"/>
              <w:jc w:val="both"/>
              <w:rPr>
                <w:rFonts w:ascii="Cambria" w:hAnsi="Cambria"/>
                <w:b/>
                <w:sz w:val="20"/>
                <w:szCs w:val="20"/>
              </w:rPr>
            </w:pPr>
            <w:r w:rsidRPr="00923437">
              <w:rPr>
                <w:rFonts w:ascii="Cambria" w:hAnsi="Cambria"/>
                <w:b/>
                <w:sz w:val="20"/>
                <w:szCs w:val="20"/>
              </w:rPr>
              <w:t>2021</w:t>
            </w:r>
          </w:p>
        </w:tc>
        <w:tc>
          <w:tcPr>
            <w:tcW w:w="1843" w:type="dxa"/>
            <w:tcBorders>
              <w:top w:val="single" w:sz="4" w:space="0" w:color="auto"/>
              <w:left w:val="nil"/>
              <w:bottom w:val="nil"/>
              <w:right w:val="nil"/>
            </w:tcBorders>
            <w:shd w:val="clear" w:color="auto" w:fill="auto"/>
          </w:tcPr>
          <w:p w14:paraId="622B587F" w14:textId="77777777" w:rsidR="001E6D3A" w:rsidRPr="00923437" w:rsidRDefault="001E6D3A" w:rsidP="007D617A">
            <w:pPr>
              <w:spacing w:line="240" w:lineRule="auto"/>
              <w:jc w:val="center"/>
              <w:rPr>
                <w:rFonts w:ascii="Cambria" w:hAnsi="Cambria"/>
                <w:sz w:val="20"/>
                <w:szCs w:val="20"/>
              </w:rPr>
            </w:pPr>
            <w:r w:rsidRPr="00923437">
              <w:rPr>
                <w:rFonts w:ascii="Cambria" w:hAnsi="Cambria"/>
                <w:sz w:val="20"/>
                <w:szCs w:val="20"/>
              </w:rPr>
              <w:t>Quasi Experimental</w:t>
            </w:r>
          </w:p>
        </w:tc>
        <w:tc>
          <w:tcPr>
            <w:tcW w:w="2288" w:type="dxa"/>
            <w:tcBorders>
              <w:top w:val="single" w:sz="4" w:space="0" w:color="auto"/>
              <w:left w:val="nil"/>
              <w:bottom w:val="nil"/>
              <w:right w:val="nil"/>
            </w:tcBorders>
            <w:shd w:val="clear" w:color="auto" w:fill="auto"/>
          </w:tcPr>
          <w:p w14:paraId="33EEDC4D" w14:textId="77777777" w:rsidR="001E6D3A" w:rsidRPr="00923437" w:rsidRDefault="001E6D3A" w:rsidP="001E6D3A">
            <w:pPr>
              <w:spacing w:line="240" w:lineRule="auto"/>
              <w:jc w:val="both"/>
              <w:rPr>
                <w:rFonts w:ascii="Cambria" w:hAnsi="Cambria"/>
                <w:sz w:val="20"/>
                <w:szCs w:val="20"/>
              </w:rPr>
            </w:pPr>
            <w:r w:rsidRPr="00923437">
              <w:rPr>
                <w:rFonts w:ascii="Cambria" w:hAnsi="Cambria"/>
                <w:sz w:val="20"/>
                <w:szCs w:val="20"/>
              </w:rPr>
              <w:t xml:space="preserve">We performed a retrospective cohort study of adult patients admitted to a general hospital ward between July 1, 2014–December 31, 2017. Data were obtained from electronic health records (EHR). The primary outcome was in-hospital mortality. Secondary outcomes were ICU admission and hospital LOS. We categorized patients into three risk groups (low, medium or high risk of clinical </w:t>
            </w:r>
            <w:r w:rsidRPr="00923437">
              <w:rPr>
                <w:rFonts w:ascii="Cambria" w:hAnsi="Cambria"/>
                <w:sz w:val="20"/>
                <w:szCs w:val="20"/>
              </w:rPr>
              <w:lastRenderedPageBreak/>
              <w:t>deterioration) based on EWS.</w:t>
            </w:r>
          </w:p>
        </w:tc>
        <w:tc>
          <w:tcPr>
            <w:tcW w:w="2673" w:type="dxa"/>
            <w:tcBorders>
              <w:top w:val="single" w:sz="4" w:space="0" w:color="auto"/>
              <w:left w:val="nil"/>
              <w:bottom w:val="nil"/>
              <w:right w:val="nil"/>
            </w:tcBorders>
            <w:shd w:val="clear" w:color="auto" w:fill="auto"/>
          </w:tcPr>
          <w:p w14:paraId="6D86397B" w14:textId="77777777" w:rsidR="001E6D3A" w:rsidRPr="00923437" w:rsidRDefault="001E6D3A" w:rsidP="001E6D3A">
            <w:pPr>
              <w:spacing w:line="240" w:lineRule="auto"/>
              <w:jc w:val="both"/>
              <w:rPr>
                <w:rFonts w:ascii="Cambria" w:hAnsi="Cambria"/>
                <w:sz w:val="20"/>
                <w:szCs w:val="20"/>
              </w:rPr>
            </w:pPr>
            <w:r w:rsidRPr="00923437">
              <w:rPr>
                <w:rStyle w:val="q4iawc"/>
                <w:rFonts w:ascii="Cambria" w:hAnsi="Cambria"/>
                <w:sz w:val="20"/>
                <w:szCs w:val="20"/>
              </w:rPr>
              <w:lastRenderedPageBreak/>
              <w:t>Our findings suggest that an initial high-risk EWS in patients admitted to a general hospital ward was associated with an increased risk of in-hospital mortality, ICU admission, and prolonged hospital LOS. Close monitoring and precise documentation of the EWS in the EHR may facilitate predicting poor outcomes in individual hospitalized patients and help to identify patients for whom timely and adequate management may improve outcomes.</w:t>
            </w:r>
          </w:p>
        </w:tc>
      </w:tr>
    </w:tbl>
    <w:p w14:paraId="3B6E83C5" w14:textId="5DE3B3CF" w:rsidR="001E6D3A" w:rsidRPr="00923437" w:rsidRDefault="001E6D3A" w:rsidP="00DB0358">
      <w:pPr>
        <w:pBdr>
          <w:bottom w:val="single" w:sz="4" w:space="0" w:color="auto"/>
        </w:pBdr>
        <w:tabs>
          <w:tab w:val="left" w:pos="5790"/>
        </w:tabs>
        <w:rPr>
          <w:rFonts w:ascii="Cambria" w:hAnsi="Cambria"/>
          <w:szCs w:val="24"/>
        </w:rPr>
      </w:pPr>
    </w:p>
    <w:p w14:paraId="19C1EE3E" w14:textId="77777777" w:rsidR="001E6D3A" w:rsidRPr="00923437" w:rsidRDefault="001E6D3A" w:rsidP="001E6D3A">
      <w:pPr>
        <w:spacing w:line="240" w:lineRule="auto"/>
        <w:jc w:val="both"/>
        <w:rPr>
          <w:rFonts w:ascii="Cambria" w:hAnsi="Cambria"/>
        </w:rPr>
      </w:pPr>
    </w:p>
    <w:p w14:paraId="46443E1B" w14:textId="4FAB6E33" w:rsidR="007A3E51" w:rsidRPr="00923437" w:rsidRDefault="007D617A" w:rsidP="007D617A">
      <w:pPr>
        <w:spacing w:line="240" w:lineRule="auto"/>
        <w:jc w:val="both"/>
        <w:rPr>
          <w:rStyle w:val="q4iawc"/>
          <w:rFonts w:ascii="Cambria" w:hAnsi="Cambria"/>
        </w:rPr>
      </w:pPr>
      <w:r w:rsidRPr="00923437">
        <w:rPr>
          <w:rStyle w:val="q4iawc"/>
          <w:rFonts w:ascii="Cambria" w:hAnsi="Cambria"/>
        </w:rPr>
        <w:t>The EWS scoring interventions carried out in the five studies above have different types of interventions with different durations. In the research conducted by Sri Wulan Megawati (2020), the intervention of providing EWS was carried out during the period (1 month) between August 6 - September 6, 2020. While in the study conducted by Budi Mera (2020) this study was data on patient characteristics, outcomes of patients consisting of a length of stay (days), mortality, referral to ICU/HCU, and activation of a code blue. The second instrument is the EWS assessment instrument in the hospital. The population is all adult patients (=16 years) in the Inpatient Room. Sampling used a consecutive sampling technique with the criteria of patients being adults (=16 years) but excluding those in the emergency room, intensive care unit, children's room (ie, aged &lt;16 years), pregnant women, and patients with chronic obstructive disease. lungs (COPD) for one month. Samples obtained for one month amounted to 278 patients. Patient deterioration can occur when the evaluation and execution of the EWS do not match the algorithm. This requires the medical team and nurses to have professional competence in monitoring, measuring, and evaluating the patient's condition. The results showed that the implementation of nurse monitoring based on EWS was very effective in improving the quality of inpatient services.</w:t>
      </w:r>
    </w:p>
    <w:p w14:paraId="65FF90BC" w14:textId="77777777" w:rsidR="007D617A" w:rsidRPr="00923437" w:rsidRDefault="007D617A" w:rsidP="007D617A">
      <w:pPr>
        <w:spacing w:line="240" w:lineRule="auto"/>
        <w:jc w:val="both"/>
        <w:rPr>
          <w:rStyle w:val="q4iawc"/>
          <w:rFonts w:ascii="Cambria" w:hAnsi="Cambria"/>
        </w:rPr>
      </w:pPr>
    </w:p>
    <w:p w14:paraId="3C273DE4" w14:textId="26D2EFF0" w:rsidR="00D85455" w:rsidRPr="00923437" w:rsidRDefault="00D85455" w:rsidP="00D85455">
      <w:pPr>
        <w:spacing w:line="240" w:lineRule="auto"/>
        <w:jc w:val="both"/>
        <w:rPr>
          <w:rFonts w:ascii="Cambria" w:hAnsi="Cambria"/>
          <w:b/>
          <w:bCs/>
          <w:szCs w:val="24"/>
        </w:rPr>
      </w:pPr>
      <w:r w:rsidRPr="00923437">
        <w:rPr>
          <w:rFonts w:ascii="Cambria" w:hAnsi="Cambria"/>
          <w:b/>
          <w:bCs/>
          <w:szCs w:val="24"/>
        </w:rPr>
        <w:t>DISCUSSION</w:t>
      </w:r>
    </w:p>
    <w:p w14:paraId="054B8DA0" w14:textId="77777777" w:rsidR="007A3E51" w:rsidRPr="00923437" w:rsidRDefault="007A3E51" w:rsidP="00D85455">
      <w:pPr>
        <w:spacing w:line="240" w:lineRule="auto"/>
        <w:jc w:val="both"/>
        <w:rPr>
          <w:rFonts w:ascii="Cambria" w:hAnsi="Cambria"/>
          <w:b/>
          <w:bCs/>
          <w:szCs w:val="24"/>
        </w:rPr>
      </w:pPr>
    </w:p>
    <w:p w14:paraId="77D1ADC8" w14:textId="40B503C1" w:rsidR="007A3E51" w:rsidRPr="00923437" w:rsidRDefault="00E1436D" w:rsidP="00D85455">
      <w:pPr>
        <w:spacing w:line="240" w:lineRule="auto"/>
        <w:jc w:val="both"/>
        <w:rPr>
          <w:rStyle w:val="q4iawc"/>
          <w:rFonts w:ascii="Cambria" w:hAnsi="Cambria"/>
        </w:rPr>
      </w:pPr>
      <w:r w:rsidRPr="00923437">
        <w:rPr>
          <w:rStyle w:val="q4iawc"/>
          <w:rFonts w:ascii="Cambria" w:hAnsi="Cambria"/>
        </w:rPr>
        <w:t xml:space="preserve">Hospital service standards are grouped based on patient safety goals, patient-focused service standards, national programs, and the integration of health education in hospital services. One of the hospital accreditation assessments contains the application of early detection of changes in patient conditions using the Early warning score </w:t>
      </w:r>
      <w:r w:rsidR="00522DE8" w:rsidRPr="00923437">
        <w:rPr>
          <w:rStyle w:val="q4iawc"/>
          <w:rFonts w:ascii="Cambria" w:hAnsi="Cambria"/>
          <w:lang w:val="en-US"/>
        </w:rPr>
        <w:t>[4]</w:t>
      </w:r>
      <w:r w:rsidRPr="00923437">
        <w:rPr>
          <w:rStyle w:val="q4iawc"/>
          <w:rFonts w:ascii="Cambria" w:hAnsi="Cambria"/>
        </w:rPr>
        <w:t>. An early warning score (EWS) is a parameter used to assess the deterioration of the patient's physiological condition, namely identifying and responding to patients who come with or are in acute disease conditions. The early warning score (EWS) assesses the patient's 6 physiological components, namely consciousness, systolic blood pressure, pulse, oxygen saturation, respiratory rate, and temperature</w:t>
      </w:r>
      <w:r w:rsidR="00522DE8" w:rsidRPr="00923437">
        <w:rPr>
          <w:rStyle w:val="q4iawc"/>
          <w:rFonts w:ascii="Cambria" w:hAnsi="Cambria"/>
          <w:lang w:val="en-US"/>
        </w:rPr>
        <w:t xml:space="preserve"> [12]</w:t>
      </w:r>
      <w:r w:rsidRPr="00923437">
        <w:rPr>
          <w:rStyle w:val="q4iawc"/>
          <w:rFonts w:ascii="Cambria" w:hAnsi="Cambria"/>
        </w:rPr>
        <w:t>.</w:t>
      </w:r>
    </w:p>
    <w:p w14:paraId="342D3B42" w14:textId="77777777" w:rsidR="00E1436D" w:rsidRPr="00923437" w:rsidRDefault="00E1436D" w:rsidP="00D85455">
      <w:pPr>
        <w:spacing w:line="240" w:lineRule="auto"/>
        <w:jc w:val="both"/>
        <w:rPr>
          <w:rStyle w:val="q4iawc"/>
          <w:rFonts w:ascii="Cambria" w:hAnsi="Cambria"/>
        </w:rPr>
      </w:pPr>
    </w:p>
    <w:p w14:paraId="6F53543E" w14:textId="2373C01C" w:rsidR="007A3E51" w:rsidRPr="00923437" w:rsidRDefault="00E1436D" w:rsidP="00D85455">
      <w:pPr>
        <w:spacing w:line="240" w:lineRule="auto"/>
        <w:jc w:val="both"/>
        <w:rPr>
          <w:rStyle w:val="q4iawc"/>
          <w:rFonts w:ascii="Cambria" w:hAnsi="Cambria"/>
        </w:rPr>
      </w:pPr>
      <w:r w:rsidRPr="00923437">
        <w:rPr>
          <w:rStyle w:val="q4iawc"/>
          <w:rFonts w:ascii="Cambria" w:hAnsi="Cambria"/>
        </w:rPr>
        <w:t>In Indonesia, there is no definite data regarding the mortality rate in all hospitals. In one Indonesian hospital, it was found that the 2016 GDR showed 14.73 while the NDR value was 7.73, which means it is still high beyond the minimum standard for hospital services</w:t>
      </w:r>
      <w:r w:rsidR="00522DE8" w:rsidRPr="00923437">
        <w:rPr>
          <w:rStyle w:val="q4iawc"/>
          <w:rFonts w:ascii="Cambria" w:hAnsi="Cambria"/>
          <w:lang w:val="en-US"/>
        </w:rPr>
        <w:t xml:space="preserve"> [7]</w:t>
      </w:r>
      <w:r w:rsidRPr="00923437">
        <w:rPr>
          <w:rStyle w:val="q4iawc"/>
          <w:rFonts w:ascii="Cambria" w:hAnsi="Cambria"/>
        </w:rPr>
        <w:t>. The EWS assessment was carried out based on seven parameters for assessing the patient's physiological response consisting of respiration, systolic blood pressure, temperature, pulse, oxygen saturation, supplemental oxygen, and the patient's level of consciousness. The early warning score (EWS) can be used to predict the short-term and long-term probability of death</w:t>
      </w:r>
      <w:r w:rsidR="0095341D" w:rsidRPr="00923437">
        <w:rPr>
          <w:rStyle w:val="q4iawc"/>
          <w:rFonts w:ascii="Cambria" w:hAnsi="Cambria"/>
          <w:lang w:val="en-US"/>
        </w:rPr>
        <w:t xml:space="preserve"> [8]</w:t>
      </w:r>
      <w:r w:rsidRPr="00923437">
        <w:rPr>
          <w:rStyle w:val="q4iawc"/>
          <w:rFonts w:ascii="Cambria" w:hAnsi="Cambria"/>
        </w:rPr>
        <w:t>. It is associated with abnormalities in the patient's vital signs, regardless of the intervention or timeliness of medical personnel. The early warning score (EWS) can be used as a predictor of patient outcomes including Length of Stay (LOS), mortality within 28 days or Net Death Rate (NDR), and HCU/ICU admission and activation of a code blue</w:t>
      </w:r>
      <w:r w:rsidR="00923437" w:rsidRPr="00923437">
        <w:rPr>
          <w:rStyle w:val="q4iawc"/>
          <w:rFonts w:ascii="Cambria" w:hAnsi="Cambria"/>
          <w:lang w:val="en-US"/>
        </w:rPr>
        <w:t xml:space="preserve"> [9]</w:t>
      </w:r>
      <w:r w:rsidRPr="00923437">
        <w:rPr>
          <w:rStyle w:val="q4iawc"/>
          <w:rFonts w:ascii="Cambria" w:hAnsi="Cambria"/>
        </w:rPr>
        <w:t>.</w:t>
      </w:r>
    </w:p>
    <w:p w14:paraId="18859614" w14:textId="77777777" w:rsidR="00E1436D" w:rsidRPr="00923437" w:rsidRDefault="00E1436D" w:rsidP="00D85455">
      <w:pPr>
        <w:spacing w:line="240" w:lineRule="auto"/>
        <w:jc w:val="both"/>
        <w:rPr>
          <w:rStyle w:val="q4iawc"/>
          <w:rFonts w:ascii="Cambria" w:hAnsi="Cambria"/>
        </w:rPr>
      </w:pPr>
    </w:p>
    <w:p w14:paraId="51D74D12" w14:textId="0A0DF2ED" w:rsidR="00D85455" w:rsidRPr="00923437" w:rsidRDefault="00E1436D" w:rsidP="00D85455">
      <w:pPr>
        <w:pStyle w:val="NoSpacing"/>
        <w:jc w:val="both"/>
        <w:rPr>
          <w:rFonts w:ascii="Cambria" w:hAnsi="Cambria"/>
          <w:lang w:eastAsia="id-ID"/>
        </w:rPr>
      </w:pPr>
      <w:r w:rsidRPr="00923437">
        <w:rPr>
          <w:rStyle w:val="q4iawc"/>
          <w:rFonts w:ascii="Cambria" w:hAnsi="Cambria"/>
        </w:rPr>
        <w:t>Based on the results of existing research, the impact of the application of EWS on patient clinical outcomes is still varied so an overall conclusion cannot be drawn. The results of previous studies found that there was a significant difference between the NDR and LOS of patients in the hospital after the application of EWS. Significant differences were found in the increase in code blue activation and admission to HCU. Implementation of EWS has resulted in higher utilization of the rapid response system but a lower incidence of cardiopulmonary arrest; it is associated with lower mortality rates, and improved patient safety and clinical outcomes</w:t>
      </w:r>
      <w:r w:rsidR="00923437" w:rsidRPr="00923437">
        <w:rPr>
          <w:rStyle w:val="q4iawc"/>
          <w:rFonts w:ascii="Cambria" w:hAnsi="Cambria"/>
          <w:lang w:val="en-US"/>
        </w:rPr>
        <w:t xml:space="preserve"> [10]</w:t>
      </w:r>
      <w:r w:rsidRPr="00923437">
        <w:rPr>
          <w:rStyle w:val="q4iawc"/>
          <w:rFonts w:ascii="Cambria" w:hAnsi="Cambria"/>
        </w:rPr>
        <w:t>. The EWS assessment was carried out based on seven parameters for assessing the patient's physiological response consisting of respiration, systolic blood pressure, temperature, pulse, oxygen saturation, supplemental oxygen, and the patient's level of consciousness</w:t>
      </w:r>
      <w:r w:rsidR="00923437" w:rsidRPr="00923437">
        <w:rPr>
          <w:rStyle w:val="q4iawc"/>
          <w:rFonts w:ascii="Cambria" w:hAnsi="Cambria"/>
          <w:lang w:val="en-US"/>
        </w:rPr>
        <w:t xml:space="preserve"> [11]</w:t>
      </w:r>
      <w:r w:rsidRPr="00923437">
        <w:rPr>
          <w:rStyle w:val="q4iawc"/>
          <w:rFonts w:ascii="Cambria" w:hAnsi="Cambria"/>
        </w:rPr>
        <w:t>. The early warning score (EWS) can be used to predict the short-term and long-term probability of death. This is associated with abnormalities in the vital signs of patients who are at high risk of death, regardless of intervention or timeliness of medical personnel</w:t>
      </w:r>
      <w:r w:rsidR="00923437" w:rsidRPr="00923437">
        <w:rPr>
          <w:rStyle w:val="q4iawc"/>
          <w:rFonts w:ascii="Cambria" w:hAnsi="Cambria"/>
          <w:lang w:val="en-US"/>
        </w:rPr>
        <w:t xml:space="preserve"> [3]</w:t>
      </w:r>
      <w:r w:rsidRPr="00923437">
        <w:rPr>
          <w:rStyle w:val="q4iawc"/>
          <w:rFonts w:ascii="Cambria" w:hAnsi="Cambria"/>
        </w:rPr>
        <w:t>. The early warning score (EWS) can be used as a predictor of patient outcomes including Length of Stay (LOS), mortality within 28 days or Net Death Rate (NDR), and HCU/ICU admission and activation of a code blue.</w:t>
      </w:r>
    </w:p>
    <w:p w14:paraId="57530DE9" w14:textId="77777777" w:rsidR="007A3E51" w:rsidRPr="00923437" w:rsidRDefault="007A3E51" w:rsidP="00D85455">
      <w:pPr>
        <w:pStyle w:val="NoSpacing"/>
        <w:jc w:val="both"/>
        <w:rPr>
          <w:rFonts w:ascii="Cambria" w:hAnsi="Cambria"/>
          <w:b/>
          <w:bCs/>
        </w:rPr>
      </w:pPr>
    </w:p>
    <w:p w14:paraId="4BB4999C" w14:textId="6AD3B852" w:rsidR="00D85455" w:rsidRPr="00923437" w:rsidRDefault="00D85455" w:rsidP="00D85455">
      <w:pPr>
        <w:pStyle w:val="NoSpacing"/>
        <w:jc w:val="both"/>
        <w:rPr>
          <w:rFonts w:ascii="Cambria" w:hAnsi="Cambria"/>
          <w:b/>
          <w:bCs/>
        </w:rPr>
      </w:pPr>
      <w:r w:rsidRPr="00923437">
        <w:rPr>
          <w:rFonts w:ascii="Cambria" w:hAnsi="Cambria"/>
          <w:b/>
          <w:bCs/>
        </w:rPr>
        <w:t>CONCLUSION</w:t>
      </w:r>
    </w:p>
    <w:p w14:paraId="6A75C8FD" w14:textId="77777777" w:rsidR="00D85455" w:rsidRPr="00923437" w:rsidRDefault="00D85455" w:rsidP="00D85455">
      <w:pPr>
        <w:pStyle w:val="NoSpacing"/>
        <w:jc w:val="both"/>
        <w:rPr>
          <w:rFonts w:ascii="Cambria" w:hAnsi="Cambria"/>
          <w:b/>
          <w:bCs/>
        </w:rPr>
      </w:pPr>
    </w:p>
    <w:p w14:paraId="5E995F2D" w14:textId="6C135384" w:rsidR="007A3E51" w:rsidRPr="00923437" w:rsidRDefault="00E1436D" w:rsidP="00D85455">
      <w:pPr>
        <w:pStyle w:val="NoSpacing"/>
        <w:jc w:val="both"/>
        <w:rPr>
          <w:rStyle w:val="q4iawc"/>
          <w:rFonts w:ascii="Cambria" w:hAnsi="Cambria"/>
        </w:rPr>
      </w:pPr>
      <w:r w:rsidRPr="00923437">
        <w:rPr>
          <w:rStyle w:val="q4iawc"/>
          <w:rFonts w:ascii="Cambria" w:hAnsi="Cambria"/>
        </w:rPr>
        <w:t xml:space="preserve">An early Warning Score (EWS) can be used to predict the patient outcome which is an indicator of inpatient services. The results obtained that there is a correlation between the EWS value with mortality but not with the length of stay. The results of the study related to the correlation of EWS with referrals to the ICU/HCU and activation of code blue could not be analyzed so that in the future a larger number of samples and case variations are needed. A clinical flow can be made in advance so that good patient management can be carried out if the EWS score is higher. </w:t>
      </w:r>
      <w:r w:rsidR="000F3245" w:rsidRPr="00923437">
        <w:rPr>
          <w:rStyle w:val="q4iawc"/>
          <w:rFonts w:ascii="Cambria" w:hAnsi="Cambria"/>
        </w:rPr>
        <w:t>T</w:t>
      </w:r>
      <w:r w:rsidRPr="00923437">
        <w:rPr>
          <w:rStyle w:val="q4iawc"/>
          <w:rFonts w:ascii="Cambria" w:hAnsi="Cambria"/>
        </w:rPr>
        <w:t>he ability of nurses to identify the patient's condition and fill out the Early Warning Scoring observation sheet, the initial condition of the new patient arriving at the hospital and the history of initial treatment when the patient was found (primary survey), the existence of a Code Blue system or an adequate intensive care room in the hospital as a step when a high EWS score is found.</w:t>
      </w:r>
    </w:p>
    <w:p w14:paraId="170987CA" w14:textId="77777777" w:rsidR="00E1436D" w:rsidRPr="00923437" w:rsidRDefault="00E1436D" w:rsidP="00D85455">
      <w:pPr>
        <w:pStyle w:val="NoSpacing"/>
        <w:jc w:val="both"/>
        <w:rPr>
          <w:rFonts w:ascii="Cambria" w:hAnsi="Cambria"/>
          <w:b/>
          <w:bCs/>
        </w:rPr>
      </w:pPr>
    </w:p>
    <w:p w14:paraId="02A25F86" w14:textId="77777777" w:rsidR="00D85455" w:rsidRPr="00923437" w:rsidRDefault="00D85455" w:rsidP="00D85455">
      <w:pPr>
        <w:pStyle w:val="NoSpacing"/>
        <w:jc w:val="both"/>
        <w:rPr>
          <w:rFonts w:ascii="Cambria" w:hAnsi="Cambria"/>
          <w:b/>
          <w:bCs/>
        </w:rPr>
      </w:pPr>
      <w:r w:rsidRPr="00923437">
        <w:rPr>
          <w:rFonts w:ascii="Cambria" w:hAnsi="Cambria"/>
          <w:b/>
          <w:bCs/>
        </w:rPr>
        <w:t>ACKNOWLEDGMENT</w:t>
      </w:r>
    </w:p>
    <w:p w14:paraId="2A373C8C" w14:textId="77777777" w:rsidR="00D85455" w:rsidRPr="00923437" w:rsidRDefault="00D85455" w:rsidP="00D85455">
      <w:pPr>
        <w:pStyle w:val="NoSpacing"/>
        <w:jc w:val="both"/>
        <w:rPr>
          <w:rFonts w:ascii="Cambria" w:hAnsi="Cambria"/>
          <w:b/>
          <w:bCs/>
        </w:rPr>
      </w:pPr>
    </w:p>
    <w:p w14:paraId="241A886D" w14:textId="36D18846" w:rsidR="00D85455" w:rsidRPr="00923437" w:rsidRDefault="00D85455" w:rsidP="00D85455">
      <w:pPr>
        <w:pStyle w:val="NoSpacing"/>
        <w:jc w:val="both"/>
        <w:rPr>
          <w:rFonts w:ascii="Cambria" w:hAnsi="Cambria"/>
          <w:b/>
          <w:bCs/>
        </w:rPr>
      </w:pPr>
      <w:r w:rsidRPr="00923437">
        <w:rPr>
          <w:rStyle w:val="q4iawc"/>
          <w:rFonts w:ascii="Cambria" w:hAnsi="Cambria"/>
        </w:rPr>
        <w:t xml:space="preserve">The author would like to thank Universitas Muhammadiyah Semarang which has </w:t>
      </w:r>
      <w:r w:rsidR="00B8114A" w:rsidRPr="00923437">
        <w:rPr>
          <w:rStyle w:val="q4iawc"/>
          <w:rFonts w:ascii="Cambria" w:hAnsi="Cambria"/>
        </w:rPr>
        <w:t xml:space="preserve">facilitated the writing of this research </w:t>
      </w:r>
      <w:r w:rsidRPr="00923437">
        <w:rPr>
          <w:rStyle w:val="q4iawc"/>
          <w:rFonts w:ascii="Cambria" w:hAnsi="Cambria"/>
        </w:rPr>
        <w:t>as well as to the respondents and all parties who have helped and supported the research process and writing of this research article.</w:t>
      </w:r>
    </w:p>
    <w:p w14:paraId="28F0859B" w14:textId="1F65C783" w:rsidR="00D85455" w:rsidRPr="00923437" w:rsidRDefault="00D85455" w:rsidP="00D85455">
      <w:pPr>
        <w:pStyle w:val="NoSpacing"/>
        <w:jc w:val="both"/>
        <w:rPr>
          <w:rFonts w:ascii="Cambria" w:hAnsi="Cambria"/>
          <w:b/>
          <w:bCs/>
        </w:rPr>
      </w:pPr>
    </w:p>
    <w:p w14:paraId="2E425424" w14:textId="77777777" w:rsidR="00D85455" w:rsidRPr="00923437" w:rsidRDefault="00D85455" w:rsidP="00D85455">
      <w:pPr>
        <w:pStyle w:val="NoSpacing"/>
        <w:jc w:val="both"/>
        <w:rPr>
          <w:rFonts w:ascii="Cambria" w:hAnsi="Cambria"/>
          <w:b/>
          <w:bCs/>
        </w:rPr>
      </w:pPr>
    </w:p>
    <w:p w14:paraId="41A2B1D5" w14:textId="77777777" w:rsidR="00D85455" w:rsidRPr="00923437" w:rsidRDefault="00D85455" w:rsidP="00D85455">
      <w:pPr>
        <w:pStyle w:val="NoSpacing"/>
        <w:jc w:val="both"/>
        <w:rPr>
          <w:rFonts w:ascii="Cambria" w:hAnsi="Cambria"/>
          <w:b/>
          <w:bCs/>
        </w:rPr>
      </w:pPr>
      <w:r w:rsidRPr="00923437">
        <w:rPr>
          <w:rFonts w:ascii="Cambria" w:hAnsi="Cambria"/>
          <w:b/>
          <w:bCs/>
        </w:rPr>
        <w:t>REFERENCES</w:t>
      </w:r>
    </w:p>
    <w:p w14:paraId="4598E601" w14:textId="15BC9061" w:rsidR="00B8114A" w:rsidRPr="00923437" w:rsidRDefault="00B8114A">
      <w:pPr>
        <w:rPr>
          <w:rFonts w:ascii="Cambria" w:hAnsi="Cambria"/>
        </w:rPr>
      </w:pPr>
    </w:p>
    <w:p w14:paraId="36A29688" w14:textId="77777777" w:rsidR="00B8114A" w:rsidRPr="00923437" w:rsidRDefault="00B8114A" w:rsidP="00E1436D">
      <w:pPr>
        <w:pStyle w:val="ListParagraph"/>
        <w:numPr>
          <w:ilvl w:val="0"/>
          <w:numId w:val="3"/>
        </w:numPr>
        <w:autoSpaceDE w:val="0"/>
        <w:autoSpaceDN w:val="0"/>
        <w:adjustRightInd w:val="0"/>
        <w:ind w:left="491" w:hanging="491"/>
        <w:jc w:val="both"/>
        <w:rPr>
          <w:rFonts w:ascii="Cambria" w:hAnsi="Cambria"/>
          <w:sz w:val="24"/>
          <w:szCs w:val="24"/>
          <w:lang w:val="id-ID"/>
        </w:rPr>
      </w:pPr>
      <w:r w:rsidRPr="00923437">
        <w:rPr>
          <w:rFonts w:ascii="Cambria" w:hAnsi="Cambria"/>
          <w:sz w:val="24"/>
          <w:szCs w:val="24"/>
          <w:lang w:val="id-ID"/>
        </w:rPr>
        <w:t xml:space="preserve">Dewi, B. A. M., Susila, I. M. D. P., &amp; Darmawan, A. K. N. (2020). Pengaruh Penggunaan Adult Early Warning Scoring (Aews) Terhadap Tingkat Mortalitas Di Rsud Bali Mandara. Jurnal Kesehatan Saelmakers PERDANA (JKSP), 3(2), 334-343. </w:t>
      </w:r>
    </w:p>
    <w:p w14:paraId="1675B8A6" w14:textId="64F63786" w:rsidR="00B8114A" w:rsidRPr="00923437" w:rsidRDefault="00B8114A" w:rsidP="00E1436D">
      <w:pPr>
        <w:pStyle w:val="ListParagraph"/>
        <w:numPr>
          <w:ilvl w:val="0"/>
          <w:numId w:val="3"/>
        </w:numPr>
        <w:autoSpaceDE w:val="0"/>
        <w:autoSpaceDN w:val="0"/>
        <w:adjustRightInd w:val="0"/>
        <w:ind w:left="491" w:hanging="491"/>
        <w:jc w:val="both"/>
        <w:rPr>
          <w:rFonts w:ascii="Cambria" w:hAnsi="Cambria"/>
          <w:sz w:val="24"/>
          <w:szCs w:val="24"/>
          <w:lang w:val="id-ID"/>
        </w:rPr>
      </w:pPr>
      <w:r w:rsidRPr="00923437">
        <w:rPr>
          <w:rFonts w:ascii="Cambria" w:hAnsi="Cambria"/>
          <w:sz w:val="24"/>
          <w:szCs w:val="24"/>
          <w:lang w:val="id-ID"/>
        </w:rPr>
        <w:t xml:space="preserve">Duncan, K., &amp; McMullan, C. (2012). Early Warning System. Philadelphia: Lippincott Williams &amp; Wilkins.  </w:t>
      </w:r>
    </w:p>
    <w:p w14:paraId="4E007D2C" w14:textId="571F6D1A" w:rsidR="007301ED" w:rsidRPr="00923437" w:rsidRDefault="00B8114A" w:rsidP="00E1436D">
      <w:pPr>
        <w:pStyle w:val="ListParagraph"/>
        <w:numPr>
          <w:ilvl w:val="0"/>
          <w:numId w:val="3"/>
        </w:numPr>
        <w:autoSpaceDE w:val="0"/>
        <w:autoSpaceDN w:val="0"/>
        <w:adjustRightInd w:val="0"/>
        <w:ind w:left="491" w:hanging="491"/>
        <w:jc w:val="both"/>
        <w:rPr>
          <w:rFonts w:ascii="Cambria" w:hAnsi="Cambria"/>
          <w:sz w:val="24"/>
          <w:szCs w:val="24"/>
          <w:lang w:val="id-ID"/>
        </w:rPr>
      </w:pPr>
      <w:r w:rsidRPr="00923437">
        <w:rPr>
          <w:rFonts w:ascii="Cambria" w:hAnsi="Cambria"/>
          <w:sz w:val="24"/>
          <w:szCs w:val="24"/>
          <w:lang w:val="id-ID"/>
        </w:rPr>
        <w:lastRenderedPageBreak/>
        <w:t>Modified Early Warning Score (MEWS) identifies critical illness among ward patients in a resource restricted setting in Kampala, Uganda: a prospective observational study. PloS one, 11(3), e0151408</w:t>
      </w:r>
    </w:p>
    <w:p w14:paraId="60D43336" w14:textId="1DDFD89E" w:rsidR="00B8114A" w:rsidRPr="00923437" w:rsidRDefault="00B8114A" w:rsidP="00E1436D">
      <w:pPr>
        <w:pStyle w:val="ListParagraph"/>
        <w:numPr>
          <w:ilvl w:val="0"/>
          <w:numId w:val="3"/>
        </w:numPr>
        <w:autoSpaceDE w:val="0"/>
        <w:autoSpaceDN w:val="0"/>
        <w:adjustRightInd w:val="0"/>
        <w:ind w:left="491" w:hanging="491"/>
        <w:jc w:val="both"/>
        <w:rPr>
          <w:rFonts w:ascii="Cambria" w:hAnsi="Cambria"/>
          <w:sz w:val="24"/>
          <w:szCs w:val="24"/>
          <w:lang w:val="id-ID"/>
        </w:rPr>
      </w:pPr>
      <w:r w:rsidRPr="00923437">
        <w:rPr>
          <w:rFonts w:ascii="Cambria" w:hAnsi="Cambria"/>
          <w:sz w:val="24"/>
          <w:szCs w:val="24"/>
          <w:lang w:val="id-ID"/>
        </w:rPr>
        <w:t xml:space="preserve">Kementerian Kesehatan Republik Indonesia. </w:t>
      </w:r>
      <w:r w:rsidR="00E1436D" w:rsidRPr="00923437">
        <w:rPr>
          <w:rFonts w:ascii="Cambria" w:hAnsi="Cambria"/>
          <w:sz w:val="24"/>
          <w:szCs w:val="24"/>
          <w:lang w:val="id-ID"/>
        </w:rPr>
        <w:t>(</w:t>
      </w:r>
      <w:r w:rsidRPr="00923437">
        <w:rPr>
          <w:rFonts w:ascii="Cambria" w:hAnsi="Cambria"/>
          <w:sz w:val="24"/>
          <w:szCs w:val="24"/>
          <w:lang w:val="id-ID"/>
        </w:rPr>
        <w:t>2011</w:t>
      </w:r>
      <w:r w:rsidR="00E1436D" w:rsidRPr="00923437">
        <w:rPr>
          <w:rFonts w:ascii="Cambria" w:hAnsi="Cambria"/>
          <w:sz w:val="24"/>
          <w:szCs w:val="24"/>
          <w:lang w:val="id-ID"/>
        </w:rPr>
        <w:t>)</w:t>
      </w:r>
      <w:r w:rsidRPr="00923437">
        <w:rPr>
          <w:rFonts w:ascii="Cambria" w:hAnsi="Cambria"/>
          <w:sz w:val="24"/>
          <w:szCs w:val="24"/>
          <w:lang w:val="id-ID"/>
        </w:rPr>
        <w:t>. Juknis SIRS. Kementerian Kesehatan Republik Indonesia.  Kementerian Kesehatan Republik Indonesia. 2008. Keputusan Menteri Kesehatan Republik Indonesia Nomor 129/MenKes/SK/II/2008. Jakarta: Kementerian Kesehatan Republik Indonesia</w:t>
      </w:r>
    </w:p>
    <w:p w14:paraId="47BD9035" w14:textId="197AC635" w:rsidR="00B8114A" w:rsidRPr="00923437" w:rsidRDefault="00B8114A" w:rsidP="00E1436D">
      <w:pPr>
        <w:pStyle w:val="ListParagraph"/>
        <w:numPr>
          <w:ilvl w:val="0"/>
          <w:numId w:val="3"/>
        </w:numPr>
        <w:autoSpaceDE w:val="0"/>
        <w:autoSpaceDN w:val="0"/>
        <w:adjustRightInd w:val="0"/>
        <w:ind w:left="491" w:hanging="491"/>
        <w:jc w:val="both"/>
        <w:rPr>
          <w:rFonts w:ascii="Cambria" w:hAnsi="Cambria"/>
          <w:sz w:val="24"/>
          <w:szCs w:val="24"/>
          <w:lang w:val="id-ID"/>
        </w:rPr>
      </w:pPr>
      <w:r w:rsidRPr="00923437">
        <w:rPr>
          <w:rFonts w:ascii="Cambria" w:hAnsi="Cambria"/>
          <w:sz w:val="24"/>
          <w:szCs w:val="24"/>
          <w:lang w:val="id-ID"/>
        </w:rPr>
        <w:t>Labellapansa, A., &amp; Yulianti, A. (2012). Perancangan Data Warehouse untuk Meningkatkan M</w:t>
      </w:r>
      <w:r w:rsidR="00444A13" w:rsidRPr="00923437">
        <w:rPr>
          <w:rFonts w:ascii="Cambria" w:hAnsi="Cambria"/>
          <w:sz w:val="24"/>
          <w:szCs w:val="24"/>
          <w:lang w:val="id-ID"/>
        </w:rPr>
        <w:t>u</w:t>
      </w:r>
      <w:r w:rsidRPr="00923437">
        <w:rPr>
          <w:rFonts w:ascii="Cambria" w:hAnsi="Cambria"/>
          <w:sz w:val="24"/>
          <w:szCs w:val="24"/>
          <w:lang w:val="id-ID"/>
        </w:rPr>
        <w:t>tu Pelayanan Rumah Sakit Berdasarkan Standar Mutu Nasional. In Seminar Nasional Informatika Medis</w:t>
      </w:r>
      <w:r w:rsidR="00E1436D" w:rsidRPr="00923437">
        <w:rPr>
          <w:rFonts w:ascii="Cambria" w:hAnsi="Cambria"/>
          <w:sz w:val="24"/>
          <w:szCs w:val="24"/>
          <w:lang w:val="id-ID"/>
        </w:rPr>
        <w:t xml:space="preserve"> </w:t>
      </w:r>
      <w:r w:rsidRPr="00923437">
        <w:rPr>
          <w:rFonts w:ascii="Cambria" w:hAnsi="Cambria"/>
          <w:sz w:val="24"/>
          <w:szCs w:val="24"/>
          <w:lang w:val="id-ID"/>
        </w:rPr>
        <w:t xml:space="preserve">(SNIMed).  Nurjannah, I., Trisna, P. dan Raharjo, B. B. 2019. Status Akreditasi Puskesmas dengan Tingkat Kepuasan Pasien. HIGEIA (Journal of Public Health Research and Development), 3(2): 324–336. </w:t>
      </w:r>
    </w:p>
    <w:p w14:paraId="4E52292E" w14:textId="17A12BD1" w:rsidR="00B8114A" w:rsidRPr="00923437" w:rsidRDefault="00B8114A" w:rsidP="00E1436D">
      <w:pPr>
        <w:pStyle w:val="ListParagraph"/>
        <w:numPr>
          <w:ilvl w:val="0"/>
          <w:numId w:val="3"/>
        </w:numPr>
        <w:autoSpaceDE w:val="0"/>
        <w:autoSpaceDN w:val="0"/>
        <w:adjustRightInd w:val="0"/>
        <w:ind w:left="491" w:hanging="491"/>
        <w:jc w:val="both"/>
        <w:rPr>
          <w:rFonts w:ascii="Cambria" w:hAnsi="Cambria"/>
          <w:sz w:val="24"/>
          <w:szCs w:val="24"/>
          <w:lang w:val="id-ID"/>
        </w:rPr>
      </w:pPr>
      <w:r w:rsidRPr="00923437">
        <w:rPr>
          <w:rFonts w:ascii="Cambria" w:hAnsi="Cambria"/>
          <w:sz w:val="24"/>
          <w:szCs w:val="24"/>
          <w:lang w:val="id-ID"/>
        </w:rPr>
        <w:t xml:space="preserve">Patterson, C., Maclean, F., Bell, C., Mukherjee, E., Bryan, L., Woodcock, T., &amp; Bell, D. (2011). Early warning systems in the UK: variation in content and implementation strategy has implications for a NHS early warning system. Clinical medicine, 11(5), 424.  </w:t>
      </w:r>
    </w:p>
    <w:p w14:paraId="4102A114" w14:textId="71396900" w:rsidR="00B8114A" w:rsidRPr="00923437" w:rsidRDefault="00B8114A" w:rsidP="00E1436D">
      <w:pPr>
        <w:pStyle w:val="ListParagraph"/>
        <w:numPr>
          <w:ilvl w:val="0"/>
          <w:numId w:val="3"/>
        </w:numPr>
        <w:autoSpaceDE w:val="0"/>
        <w:autoSpaceDN w:val="0"/>
        <w:adjustRightInd w:val="0"/>
        <w:ind w:left="491" w:hanging="491"/>
        <w:jc w:val="both"/>
        <w:rPr>
          <w:rFonts w:ascii="Cambria" w:hAnsi="Cambria"/>
          <w:sz w:val="24"/>
          <w:szCs w:val="24"/>
          <w:lang w:val="id-ID"/>
        </w:rPr>
      </w:pPr>
      <w:r w:rsidRPr="00923437">
        <w:rPr>
          <w:rFonts w:ascii="Cambria" w:hAnsi="Cambria"/>
          <w:sz w:val="24"/>
          <w:szCs w:val="24"/>
          <w:lang w:val="id-ID"/>
        </w:rPr>
        <w:t xml:space="preserve">Priyantini, D., Farida, I., &amp; Setianingsih, H. (2018). Early Warning Score System (EWSS) and Length of Stay Patients with Dengue Hemmoragic Fever. </w:t>
      </w:r>
    </w:p>
    <w:p w14:paraId="1CEA4E2A" w14:textId="2AE7D21C" w:rsidR="00B8114A" w:rsidRPr="00923437" w:rsidRDefault="00522DE8" w:rsidP="00E1436D">
      <w:pPr>
        <w:pStyle w:val="ListParagraph"/>
        <w:numPr>
          <w:ilvl w:val="0"/>
          <w:numId w:val="3"/>
        </w:numPr>
        <w:autoSpaceDE w:val="0"/>
        <w:autoSpaceDN w:val="0"/>
        <w:adjustRightInd w:val="0"/>
        <w:ind w:left="491" w:hanging="491"/>
        <w:jc w:val="both"/>
        <w:rPr>
          <w:rFonts w:ascii="Cambria" w:hAnsi="Cambria"/>
          <w:sz w:val="24"/>
          <w:szCs w:val="24"/>
          <w:lang w:val="id-ID"/>
        </w:rPr>
      </w:pPr>
      <w:r w:rsidRPr="00923437">
        <w:rPr>
          <w:rFonts w:ascii="Cambria" w:hAnsi="Cambria"/>
          <w:sz w:val="24"/>
          <w:szCs w:val="24"/>
          <w:lang w:val="id-ID"/>
        </w:rPr>
        <w:t>Skaletzky, S. M., Raszynski, A., &amp; Totapally, B. R. (2012)</w:t>
      </w:r>
      <w:r w:rsidRPr="00923437">
        <w:rPr>
          <w:rFonts w:ascii="Cambria" w:hAnsi="Cambria"/>
          <w:sz w:val="24"/>
          <w:szCs w:val="24"/>
        </w:rPr>
        <w:t xml:space="preserve">. </w:t>
      </w:r>
      <w:r w:rsidR="00B8114A" w:rsidRPr="00923437">
        <w:rPr>
          <w:rFonts w:ascii="Cambria" w:hAnsi="Cambria"/>
          <w:sz w:val="24"/>
          <w:szCs w:val="24"/>
          <w:lang w:val="id-ID"/>
        </w:rPr>
        <w:t>The effect of adult Early Warning Systems education on nurses' knowledge, confidence and clinical performance: A systematic review. Diakses dari https://www.ncbi.nlm.nih.gov/pubme d/28440892 doi 10.1111/jan.13322  .</w:t>
      </w:r>
    </w:p>
    <w:p w14:paraId="63C56930" w14:textId="5342546B" w:rsidR="00B8114A" w:rsidRPr="00923437" w:rsidRDefault="004B55BE" w:rsidP="004B55BE">
      <w:pPr>
        <w:pStyle w:val="ListParagraph"/>
        <w:numPr>
          <w:ilvl w:val="0"/>
          <w:numId w:val="3"/>
        </w:numPr>
        <w:autoSpaceDE w:val="0"/>
        <w:autoSpaceDN w:val="0"/>
        <w:adjustRightInd w:val="0"/>
        <w:ind w:left="491" w:hanging="491"/>
        <w:jc w:val="both"/>
        <w:rPr>
          <w:rFonts w:ascii="Cambria" w:hAnsi="Cambria"/>
          <w:sz w:val="24"/>
          <w:szCs w:val="24"/>
          <w:lang w:val="en-ID" w:eastAsia="en-ID"/>
        </w:rPr>
      </w:pPr>
      <w:r w:rsidRPr="004B55BE">
        <w:rPr>
          <w:rFonts w:ascii="Cambria" w:hAnsi="Cambria"/>
          <w:sz w:val="24"/>
          <w:szCs w:val="24"/>
          <w:lang w:val="id-ID"/>
        </w:rPr>
        <w:t>Skaletzky</w:t>
      </w:r>
      <w:r w:rsidRPr="00923437">
        <w:rPr>
          <w:rFonts w:ascii="Cambria" w:hAnsi="Cambria"/>
          <w:sz w:val="24"/>
          <w:szCs w:val="24"/>
        </w:rPr>
        <w:t xml:space="preserve">, </w:t>
      </w:r>
      <w:hyperlink r:id="rId8" w:history="1">
        <w:r w:rsidR="00444A13" w:rsidRPr="00923437">
          <w:rPr>
            <w:rFonts w:ascii="Cambria" w:hAnsi="Cambria"/>
            <w:sz w:val="24"/>
            <w:szCs w:val="24"/>
            <w:lang w:val="id-ID"/>
          </w:rPr>
          <w:t>S</w:t>
        </w:r>
        <w:r w:rsidRPr="00923437">
          <w:rPr>
            <w:rFonts w:ascii="Cambria" w:hAnsi="Cambria"/>
            <w:sz w:val="24"/>
            <w:szCs w:val="24"/>
          </w:rPr>
          <w:t>.</w:t>
        </w:r>
        <w:r w:rsidR="00444A13" w:rsidRPr="00923437">
          <w:rPr>
            <w:rFonts w:ascii="Cambria" w:hAnsi="Cambria"/>
            <w:sz w:val="24"/>
            <w:szCs w:val="24"/>
            <w:lang w:val="en-ID" w:eastAsia="en-ID"/>
          </w:rPr>
          <w:t>M</w:t>
        </w:r>
        <w:r w:rsidRPr="00923437">
          <w:rPr>
            <w:rFonts w:ascii="Cambria" w:hAnsi="Cambria"/>
            <w:sz w:val="24"/>
            <w:szCs w:val="24"/>
            <w:lang w:val="en-ID" w:eastAsia="en-ID"/>
          </w:rPr>
          <w:t>.</w:t>
        </w:r>
      </w:hyperlink>
      <w:hyperlink r:id="rId9" w:anchor="affiliation-1" w:tooltip="Miami Children’s Hospital, Miami, FL 33155, USA." w:history="1">
        <w:r w:rsidR="00444A13" w:rsidRPr="00923437">
          <w:rPr>
            <w:rFonts w:ascii="Cambria" w:hAnsi="Cambria"/>
            <w:sz w:val="24"/>
            <w:szCs w:val="24"/>
            <w:vertAlign w:val="superscript"/>
            <w:lang w:val="en-ID" w:eastAsia="en-ID"/>
          </w:rPr>
          <w:t xml:space="preserve"> </w:t>
        </w:r>
      </w:hyperlink>
      <w:r w:rsidR="00444A13" w:rsidRPr="00923437">
        <w:rPr>
          <w:rFonts w:ascii="Cambria" w:hAnsi="Cambria"/>
          <w:sz w:val="24"/>
          <w:szCs w:val="24"/>
          <w:lang w:val="en-ID" w:eastAsia="en-ID"/>
        </w:rPr>
        <w:t>, </w:t>
      </w:r>
      <w:proofErr w:type="spellStart"/>
      <w:r w:rsidRPr="004B55BE">
        <w:rPr>
          <w:rFonts w:ascii="Cambria" w:hAnsi="Cambria"/>
          <w:sz w:val="24"/>
          <w:szCs w:val="24"/>
          <w:lang w:val="en-ID" w:eastAsia="en-ID"/>
        </w:rPr>
        <w:t>Raszynski</w:t>
      </w:r>
      <w:proofErr w:type="spellEnd"/>
      <w:r w:rsidRPr="00923437">
        <w:rPr>
          <w:rFonts w:ascii="Cambria" w:hAnsi="Cambria"/>
          <w:sz w:val="24"/>
          <w:szCs w:val="24"/>
          <w:lang w:val="en-ID" w:eastAsia="en-ID"/>
        </w:rPr>
        <w:t xml:space="preserve">, </w:t>
      </w:r>
      <w:hyperlink r:id="rId10" w:history="1">
        <w:r w:rsidR="00444A13" w:rsidRPr="00923437">
          <w:rPr>
            <w:rFonts w:ascii="Cambria" w:hAnsi="Cambria"/>
            <w:sz w:val="24"/>
            <w:szCs w:val="24"/>
            <w:lang w:val="en-ID" w:eastAsia="en-ID"/>
          </w:rPr>
          <w:t>A</w:t>
        </w:r>
        <w:r w:rsidRPr="00923437">
          <w:rPr>
            <w:rFonts w:ascii="Cambria" w:hAnsi="Cambria"/>
            <w:sz w:val="24"/>
            <w:szCs w:val="24"/>
            <w:lang w:val="en-ID" w:eastAsia="en-ID"/>
          </w:rPr>
          <w:t>.</w:t>
        </w:r>
        <w:r w:rsidR="00444A13" w:rsidRPr="00923437">
          <w:rPr>
            <w:rFonts w:ascii="Cambria" w:hAnsi="Cambria"/>
            <w:sz w:val="24"/>
            <w:szCs w:val="24"/>
            <w:lang w:val="en-ID" w:eastAsia="en-ID"/>
          </w:rPr>
          <w:t xml:space="preserve"> </w:t>
        </w:r>
      </w:hyperlink>
      <w:r w:rsidR="00444A13" w:rsidRPr="00923437">
        <w:rPr>
          <w:rFonts w:ascii="Cambria" w:hAnsi="Cambria"/>
          <w:sz w:val="24"/>
          <w:szCs w:val="24"/>
          <w:lang w:val="en-ID" w:eastAsia="en-ID"/>
        </w:rPr>
        <w:t>, </w:t>
      </w:r>
      <w:proofErr w:type="spellStart"/>
      <w:r w:rsidRPr="004B55BE">
        <w:rPr>
          <w:rFonts w:ascii="Cambria" w:hAnsi="Cambria"/>
          <w:sz w:val="24"/>
          <w:szCs w:val="24"/>
          <w:lang w:val="en-ID" w:eastAsia="en-ID"/>
        </w:rPr>
        <w:t>Totapally</w:t>
      </w:r>
      <w:proofErr w:type="spellEnd"/>
      <w:r w:rsidRPr="00923437">
        <w:rPr>
          <w:rFonts w:ascii="Cambria" w:hAnsi="Cambria"/>
          <w:sz w:val="24"/>
          <w:szCs w:val="24"/>
          <w:lang w:val="en-ID" w:eastAsia="en-ID"/>
        </w:rPr>
        <w:t xml:space="preserve">, </w:t>
      </w:r>
      <w:hyperlink r:id="rId11" w:history="1">
        <w:r w:rsidR="00444A13" w:rsidRPr="00923437">
          <w:rPr>
            <w:rFonts w:ascii="Cambria" w:hAnsi="Cambria"/>
            <w:sz w:val="24"/>
            <w:szCs w:val="24"/>
            <w:lang w:val="en-ID" w:eastAsia="en-ID"/>
          </w:rPr>
          <w:t>B</w:t>
        </w:r>
        <w:r w:rsidRPr="00923437">
          <w:rPr>
            <w:rFonts w:ascii="Cambria" w:hAnsi="Cambria"/>
            <w:sz w:val="24"/>
            <w:szCs w:val="24"/>
            <w:lang w:val="en-ID" w:eastAsia="en-ID"/>
          </w:rPr>
          <w:t>.</w:t>
        </w:r>
        <w:r w:rsidR="00444A13" w:rsidRPr="00923437">
          <w:rPr>
            <w:rFonts w:ascii="Cambria" w:hAnsi="Cambria"/>
            <w:sz w:val="24"/>
            <w:szCs w:val="24"/>
            <w:lang w:val="en-ID" w:eastAsia="en-ID"/>
          </w:rPr>
          <w:t>R</w:t>
        </w:r>
        <w:r w:rsidRPr="00923437">
          <w:rPr>
            <w:rFonts w:ascii="Cambria" w:hAnsi="Cambria"/>
            <w:sz w:val="24"/>
            <w:szCs w:val="24"/>
            <w:lang w:val="en-ID" w:eastAsia="en-ID"/>
          </w:rPr>
          <w:t xml:space="preserve">. </w:t>
        </w:r>
        <w:r w:rsidR="00444A13" w:rsidRPr="00923437">
          <w:rPr>
            <w:rFonts w:ascii="Cambria" w:hAnsi="Cambria"/>
            <w:sz w:val="24"/>
            <w:szCs w:val="24"/>
            <w:lang w:val="en-ID" w:eastAsia="en-ID"/>
          </w:rPr>
          <w:t xml:space="preserve"> </w:t>
        </w:r>
      </w:hyperlink>
      <w:r w:rsidR="00D51933" w:rsidRPr="00923437">
        <w:rPr>
          <w:rFonts w:ascii="Cambria" w:hAnsi="Cambria"/>
          <w:sz w:val="24"/>
          <w:szCs w:val="24"/>
          <w:lang w:val="en-ID" w:eastAsia="en-ID"/>
        </w:rPr>
        <w:t>(</w:t>
      </w:r>
      <w:r w:rsidRPr="00923437">
        <w:rPr>
          <w:rFonts w:ascii="Cambria" w:hAnsi="Cambria"/>
          <w:sz w:val="24"/>
          <w:szCs w:val="24"/>
          <w:lang w:val="en-ID" w:eastAsia="en-ID"/>
        </w:rPr>
        <w:t xml:space="preserve">2012). </w:t>
      </w:r>
      <w:r w:rsidR="00B8114A" w:rsidRPr="00923437">
        <w:rPr>
          <w:rFonts w:ascii="Cambria" w:hAnsi="Cambria"/>
          <w:sz w:val="24"/>
          <w:szCs w:val="24"/>
        </w:rPr>
        <w:t>Validation of a modified pediatric early warning system score: a retrospective case– control study. Clinical pediatrics, 51(5), 431-435.</w:t>
      </w:r>
    </w:p>
    <w:p w14:paraId="58ADCCA2" w14:textId="7A78F223" w:rsidR="00B8114A" w:rsidRPr="00923437" w:rsidRDefault="00B8114A" w:rsidP="004B55BE">
      <w:pPr>
        <w:pStyle w:val="ListParagraph"/>
        <w:numPr>
          <w:ilvl w:val="0"/>
          <w:numId w:val="3"/>
        </w:numPr>
        <w:autoSpaceDE w:val="0"/>
        <w:autoSpaceDN w:val="0"/>
        <w:adjustRightInd w:val="0"/>
        <w:ind w:left="491" w:hanging="491"/>
        <w:jc w:val="both"/>
        <w:rPr>
          <w:rFonts w:ascii="Cambria" w:hAnsi="Cambria"/>
          <w:sz w:val="24"/>
          <w:szCs w:val="24"/>
          <w:lang w:val="id-ID"/>
        </w:rPr>
      </w:pPr>
      <w:r w:rsidRPr="00923437">
        <w:rPr>
          <w:rFonts w:ascii="Cambria" w:hAnsi="Cambria"/>
          <w:sz w:val="24"/>
          <w:szCs w:val="24"/>
          <w:lang w:val="id-ID"/>
        </w:rPr>
        <w:t xml:space="preserve">Smith, G. B., Prytherch, D.R., Meredith, P., Schmidt, P. E., &amp; Featherstone, P.I. 2013. </w:t>
      </w:r>
      <w:r w:rsidR="004B55BE" w:rsidRPr="00923437">
        <w:rPr>
          <w:rFonts w:ascii="Cambria" w:hAnsi="Cambria"/>
          <w:sz w:val="24"/>
          <w:szCs w:val="24"/>
        </w:rPr>
        <w:t xml:space="preserve"> </w:t>
      </w:r>
      <w:r w:rsidRPr="00923437">
        <w:rPr>
          <w:rFonts w:ascii="Cambria" w:hAnsi="Cambria"/>
          <w:sz w:val="24"/>
          <w:szCs w:val="24"/>
        </w:rPr>
        <w:t>The Ability of the National Early Warning Score (NEWS) to Discriminate Patient at Risk of Early Cardiac Arrest, Unanticipated Intensive Care Unit Admission, and Death. Resuscitation, 84(4), 465- 470.</w:t>
      </w:r>
    </w:p>
    <w:p w14:paraId="1E904AA1" w14:textId="6CB0D403" w:rsidR="00B8114A" w:rsidRPr="00923437" w:rsidRDefault="00B8114A" w:rsidP="00E1436D">
      <w:pPr>
        <w:pStyle w:val="ListParagraph"/>
        <w:numPr>
          <w:ilvl w:val="0"/>
          <w:numId w:val="3"/>
        </w:numPr>
        <w:autoSpaceDE w:val="0"/>
        <w:autoSpaceDN w:val="0"/>
        <w:adjustRightInd w:val="0"/>
        <w:ind w:left="491" w:hanging="491"/>
        <w:jc w:val="both"/>
        <w:rPr>
          <w:rFonts w:ascii="Cambria" w:hAnsi="Cambria"/>
          <w:sz w:val="24"/>
          <w:szCs w:val="24"/>
          <w:lang w:val="id-ID"/>
        </w:rPr>
      </w:pPr>
      <w:r w:rsidRPr="00923437">
        <w:rPr>
          <w:rFonts w:ascii="Cambria" w:hAnsi="Cambria"/>
          <w:sz w:val="24"/>
          <w:szCs w:val="24"/>
          <w:lang w:val="id-ID"/>
        </w:rPr>
        <w:t>Subbe CP, Kruger M, Rutherford P, Gemmel L. Validation of a modified early warning score in medical admissions. QJM 2001;94:521–6</w:t>
      </w:r>
    </w:p>
    <w:p w14:paraId="2E1AD083" w14:textId="0BC1C376" w:rsidR="00B8114A" w:rsidRPr="00923437" w:rsidRDefault="00B8114A" w:rsidP="00444A13">
      <w:pPr>
        <w:pStyle w:val="ListParagraph"/>
        <w:numPr>
          <w:ilvl w:val="0"/>
          <w:numId w:val="3"/>
        </w:numPr>
        <w:autoSpaceDE w:val="0"/>
        <w:autoSpaceDN w:val="0"/>
        <w:adjustRightInd w:val="0"/>
        <w:ind w:left="491" w:hanging="491"/>
        <w:jc w:val="both"/>
        <w:rPr>
          <w:rFonts w:ascii="Cambria" w:hAnsi="Cambria"/>
          <w:sz w:val="24"/>
          <w:szCs w:val="24"/>
          <w:lang w:val="id-ID"/>
        </w:rPr>
      </w:pPr>
      <w:r w:rsidRPr="00923437">
        <w:rPr>
          <w:rFonts w:ascii="Cambria" w:hAnsi="Cambria"/>
          <w:sz w:val="24"/>
          <w:szCs w:val="24"/>
          <w:lang w:val="id-ID"/>
        </w:rPr>
        <w:t xml:space="preserve">Williams, B., Alberti, G., Ball, C., Ball, D., Binks, R., &amp; Durham, L. </w:t>
      </w:r>
      <w:r w:rsidR="00444A13" w:rsidRPr="00923437">
        <w:rPr>
          <w:rFonts w:ascii="Cambria" w:hAnsi="Cambria"/>
          <w:sz w:val="24"/>
          <w:szCs w:val="24"/>
        </w:rPr>
        <w:t>(</w:t>
      </w:r>
      <w:r w:rsidRPr="00923437">
        <w:rPr>
          <w:rFonts w:ascii="Cambria" w:hAnsi="Cambria"/>
          <w:sz w:val="24"/>
          <w:szCs w:val="24"/>
          <w:lang w:val="id-ID"/>
        </w:rPr>
        <w:t>2012</w:t>
      </w:r>
      <w:r w:rsidR="00444A13" w:rsidRPr="00923437">
        <w:rPr>
          <w:rFonts w:ascii="Cambria" w:hAnsi="Cambria"/>
          <w:sz w:val="24"/>
          <w:szCs w:val="24"/>
        </w:rPr>
        <w:t>)</w:t>
      </w:r>
      <w:r w:rsidRPr="00923437">
        <w:rPr>
          <w:rFonts w:ascii="Cambria" w:hAnsi="Cambria"/>
          <w:sz w:val="24"/>
          <w:szCs w:val="24"/>
          <w:lang w:val="id-ID"/>
        </w:rPr>
        <w:t xml:space="preserve">. </w:t>
      </w:r>
      <w:r w:rsidRPr="00923437">
        <w:rPr>
          <w:rFonts w:ascii="Cambria" w:hAnsi="Cambria"/>
          <w:sz w:val="24"/>
          <w:szCs w:val="24"/>
        </w:rPr>
        <w:t xml:space="preserve">Royal College of Physicians, National Early Warning Score (NEWS), Standardising the assessment of acute. Yusnita, E. </w:t>
      </w:r>
    </w:p>
    <w:p w14:paraId="19636AA0" w14:textId="77777777" w:rsidR="00B8114A" w:rsidRPr="00923437" w:rsidRDefault="00B8114A" w:rsidP="00E1436D">
      <w:pPr>
        <w:pStyle w:val="ListParagraph"/>
        <w:numPr>
          <w:ilvl w:val="0"/>
          <w:numId w:val="3"/>
        </w:numPr>
        <w:autoSpaceDE w:val="0"/>
        <w:autoSpaceDN w:val="0"/>
        <w:adjustRightInd w:val="0"/>
        <w:ind w:left="491" w:hanging="491"/>
        <w:jc w:val="both"/>
        <w:rPr>
          <w:rFonts w:ascii="Cambria" w:hAnsi="Cambria"/>
          <w:sz w:val="24"/>
          <w:szCs w:val="24"/>
          <w:lang w:val="id-ID"/>
        </w:rPr>
      </w:pPr>
      <w:r w:rsidRPr="00923437">
        <w:rPr>
          <w:rFonts w:ascii="Cambria" w:hAnsi="Cambria"/>
          <w:sz w:val="24"/>
          <w:szCs w:val="24"/>
          <w:lang w:val="id-ID"/>
        </w:rPr>
        <w:t xml:space="preserve">Dadkhah, S., Shrestha, E., Kansakar, A. R., Faramarzi, N., Parekh, A., Dacenko-grawe, L., &amp; Sohal, S. (2018). Effect of modified early warning system on rapid response team call outcome. 1(1), 1–3. https://doi.org/10.15761/JCCR.1000 104    </w:t>
      </w:r>
    </w:p>
    <w:p w14:paraId="15FE3E24" w14:textId="77777777" w:rsidR="00B8114A" w:rsidRPr="00923437" w:rsidRDefault="00B8114A" w:rsidP="00E1436D">
      <w:pPr>
        <w:spacing w:before="240" w:line="240" w:lineRule="auto"/>
        <w:ind w:left="491" w:hanging="491"/>
        <w:jc w:val="both"/>
        <w:rPr>
          <w:rFonts w:ascii="Cambria" w:hAnsi="Cambria" w:cstheme="minorHAnsi"/>
          <w:bCs/>
          <w:szCs w:val="24"/>
        </w:rPr>
      </w:pPr>
    </w:p>
    <w:p w14:paraId="7DFB8ECF" w14:textId="77777777" w:rsidR="00B8114A" w:rsidRPr="00923437" w:rsidRDefault="00B8114A" w:rsidP="00E1436D">
      <w:pPr>
        <w:rPr>
          <w:rFonts w:ascii="Cambria" w:hAnsi="Cambria"/>
        </w:rPr>
      </w:pPr>
    </w:p>
    <w:sectPr w:rsidR="00B8114A" w:rsidRPr="00923437" w:rsidSect="007A3E5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7DFA" w14:textId="77777777" w:rsidR="00A4681C" w:rsidRDefault="00A4681C">
      <w:pPr>
        <w:spacing w:line="240" w:lineRule="auto"/>
      </w:pPr>
      <w:r>
        <w:separator/>
      </w:r>
    </w:p>
  </w:endnote>
  <w:endnote w:type="continuationSeparator" w:id="0">
    <w:p w14:paraId="182DCE01" w14:textId="77777777" w:rsidR="00A4681C" w:rsidRDefault="00A46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8202" w14:textId="77777777" w:rsidR="00A4681C" w:rsidRDefault="00A4681C">
      <w:pPr>
        <w:spacing w:line="240" w:lineRule="auto"/>
      </w:pPr>
      <w:r>
        <w:separator/>
      </w:r>
    </w:p>
  </w:footnote>
  <w:footnote w:type="continuationSeparator" w:id="0">
    <w:p w14:paraId="75E0F320" w14:textId="77777777" w:rsidR="00A4681C" w:rsidRDefault="00A468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C62E" w14:textId="77777777" w:rsidR="005B189C" w:rsidRDefault="00000000" w:rsidP="009E683B">
    <w:pPr>
      <w:pStyle w:val="Header"/>
      <w:jc w:val="right"/>
    </w:pPr>
    <w:r>
      <w:rPr>
        <w:color w:val="111111"/>
        <w:sz w:val="17"/>
        <w:szCs w:val="17"/>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4843"/>
    <w:multiLevelType w:val="hybridMultilevel"/>
    <w:tmpl w:val="D0EA600A"/>
    <w:lvl w:ilvl="0" w:tplc="1CC409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77D211A"/>
    <w:multiLevelType w:val="hybridMultilevel"/>
    <w:tmpl w:val="38E8A3EA"/>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1C4445"/>
    <w:multiLevelType w:val="hybridMultilevel"/>
    <w:tmpl w:val="8AD8F0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93013853">
    <w:abstractNumId w:val="1"/>
  </w:num>
  <w:num w:numId="2" w16cid:durableId="1673876109">
    <w:abstractNumId w:val="2"/>
  </w:num>
  <w:num w:numId="3" w16cid:durableId="71292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55"/>
    <w:rsid w:val="000F3245"/>
    <w:rsid w:val="001E6D3A"/>
    <w:rsid w:val="00291184"/>
    <w:rsid w:val="00444A13"/>
    <w:rsid w:val="004B55BE"/>
    <w:rsid w:val="00522DE8"/>
    <w:rsid w:val="005C31DB"/>
    <w:rsid w:val="007301ED"/>
    <w:rsid w:val="00743BA8"/>
    <w:rsid w:val="007A3E51"/>
    <w:rsid w:val="007D617A"/>
    <w:rsid w:val="007D7498"/>
    <w:rsid w:val="008A7550"/>
    <w:rsid w:val="00923437"/>
    <w:rsid w:val="0095341D"/>
    <w:rsid w:val="00A4681C"/>
    <w:rsid w:val="00B8114A"/>
    <w:rsid w:val="00D51933"/>
    <w:rsid w:val="00D85455"/>
    <w:rsid w:val="00DB0358"/>
    <w:rsid w:val="00E143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2EC8"/>
  <w15:chartTrackingRefBased/>
  <w15:docId w15:val="{B07DBE3A-C58B-413D-87DC-015DDD8E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55"/>
    <w:pPr>
      <w:spacing w:after="0" w:line="360" w:lineRule="auto"/>
    </w:pPr>
    <w:rPr>
      <w:rFonts w:ascii="Times New Roman" w:eastAsia="Calibri"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455"/>
    <w:pPr>
      <w:tabs>
        <w:tab w:val="center" w:pos="4513"/>
        <w:tab w:val="right" w:pos="9026"/>
      </w:tabs>
      <w:spacing w:line="240" w:lineRule="auto"/>
    </w:pPr>
  </w:style>
  <w:style w:type="character" w:customStyle="1" w:styleId="HeaderChar">
    <w:name w:val="Header Char"/>
    <w:basedOn w:val="DefaultParagraphFont"/>
    <w:link w:val="Header"/>
    <w:uiPriority w:val="99"/>
    <w:rsid w:val="00D85455"/>
    <w:rPr>
      <w:rFonts w:ascii="Times New Roman" w:eastAsia="Calibri" w:hAnsi="Times New Roman" w:cs="Times New Roman"/>
      <w:sz w:val="24"/>
      <w:lang w:val="id-ID"/>
    </w:rPr>
  </w:style>
  <w:style w:type="character" w:customStyle="1" w:styleId="jlqj4b">
    <w:name w:val="jlqj4b"/>
    <w:basedOn w:val="DefaultParagraphFont"/>
    <w:rsid w:val="00D85455"/>
  </w:style>
  <w:style w:type="paragraph" w:styleId="NoSpacing">
    <w:name w:val="No Spacing"/>
    <w:uiPriority w:val="1"/>
    <w:qFormat/>
    <w:rsid w:val="00D85455"/>
    <w:pPr>
      <w:spacing w:after="0" w:line="240" w:lineRule="auto"/>
    </w:pPr>
    <w:rPr>
      <w:rFonts w:ascii="Times New Roman" w:eastAsia="Calibri" w:hAnsi="Times New Roman" w:cs="Times New Roman"/>
      <w:sz w:val="24"/>
      <w:lang w:val="id-ID"/>
    </w:rPr>
  </w:style>
  <w:style w:type="paragraph" w:styleId="ListParagraph">
    <w:name w:val="List Paragraph"/>
    <w:aliases w:val="Body of text,Heading 1 Char1"/>
    <w:basedOn w:val="Normal"/>
    <w:link w:val="ListParagraphChar"/>
    <w:uiPriority w:val="34"/>
    <w:qFormat/>
    <w:rsid w:val="00D85455"/>
    <w:pPr>
      <w:spacing w:line="240" w:lineRule="auto"/>
      <w:ind w:left="720"/>
      <w:contextualSpacing/>
    </w:pPr>
    <w:rPr>
      <w:rFonts w:eastAsia="Times New Roman"/>
      <w:sz w:val="20"/>
      <w:szCs w:val="20"/>
      <w:lang w:val="en-US"/>
    </w:rPr>
  </w:style>
  <w:style w:type="paragraph" w:styleId="NormalWeb">
    <w:name w:val="Normal (Web)"/>
    <w:basedOn w:val="Normal"/>
    <w:uiPriority w:val="99"/>
    <w:unhideWhenUsed/>
    <w:rsid w:val="00D85455"/>
    <w:pPr>
      <w:spacing w:before="100" w:beforeAutospacing="1" w:after="100" w:afterAutospacing="1" w:line="240" w:lineRule="auto"/>
    </w:pPr>
    <w:rPr>
      <w:rFonts w:eastAsia="Times New Roman"/>
      <w:szCs w:val="24"/>
      <w:lang w:eastAsia="id-ID"/>
    </w:rPr>
  </w:style>
  <w:style w:type="character" w:customStyle="1" w:styleId="q4iawc">
    <w:name w:val="q4iawc"/>
    <w:basedOn w:val="DefaultParagraphFont"/>
    <w:rsid w:val="00D85455"/>
  </w:style>
  <w:style w:type="character" w:customStyle="1" w:styleId="viiyi">
    <w:name w:val="viiyi"/>
    <w:basedOn w:val="DefaultParagraphFont"/>
    <w:rsid w:val="00D85455"/>
  </w:style>
  <w:style w:type="table" w:styleId="TableGrid">
    <w:name w:val="Table Grid"/>
    <w:basedOn w:val="TableNormal"/>
    <w:uiPriority w:val="39"/>
    <w:rsid w:val="001E6D3A"/>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Heading 1 Char1 Char"/>
    <w:basedOn w:val="DefaultParagraphFont"/>
    <w:link w:val="ListParagraph"/>
    <w:uiPriority w:val="34"/>
    <w:rsid w:val="001E6D3A"/>
    <w:rPr>
      <w:rFonts w:ascii="Times New Roman" w:eastAsia="Times New Roman" w:hAnsi="Times New Roman" w:cs="Times New Roman"/>
      <w:sz w:val="20"/>
      <w:szCs w:val="20"/>
      <w:lang w:val="en-US"/>
    </w:rPr>
  </w:style>
  <w:style w:type="character" w:customStyle="1" w:styleId="authors-list-item">
    <w:name w:val="authors-list-item"/>
    <w:basedOn w:val="DefaultParagraphFont"/>
    <w:rsid w:val="00444A13"/>
  </w:style>
  <w:style w:type="character" w:styleId="Hyperlink">
    <w:name w:val="Hyperlink"/>
    <w:basedOn w:val="DefaultParagraphFont"/>
    <w:uiPriority w:val="99"/>
    <w:semiHidden/>
    <w:unhideWhenUsed/>
    <w:rsid w:val="00444A13"/>
    <w:rPr>
      <w:color w:val="0000FF"/>
      <w:u w:val="single"/>
    </w:rPr>
  </w:style>
  <w:style w:type="character" w:customStyle="1" w:styleId="author-sup-separator">
    <w:name w:val="author-sup-separator"/>
    <w:basedOn w:val="DefaultParagraphFont"/>
    <w:rsid w:val="00444A13"/>
  </w:style>
  <w:style w:type="character" w:customStyle="1" w:styleId="comma">
    <w:name w:val="comma"/>
    <w:basedOn w:val="DefaultParagraphFont"/>
    <w:rsid w:val="00444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81103">
      <w:bodyDiv w:val="1"/>
      <w:marLeft w:val="0"/>
      <w:marRight w:val="0"/>
      <w:marTop w:val="0"/>
      <w:marBottom w:val="0"/>
      <w:divBdr>
        <w:top w:val="none" w:sz="0" w:space="0" w:color="auto"/>
        <w:left w:val="none" w:sz="0" w:space="0" w:color="auto"/>
        <w:bottom w:val="none" w:sz="0" w:space="0" w:color="auto"/>
        <w:right w:val="none" w:sz="0" w:space="0" w:color="auto"/>
      </w:divBdr>
      <w:divsChild>
        <w:div w:id="236280772">
          <w:marLeft w:val="0"/>
          <w:marRight w:val="0"/>
          <w:marTop w:val="0"/>
          <w:marBottom w:val="0"/>
          <w:divBdr>
            <w:top w:val="none" w:sz="0" w:space="0" w:color="auto"/>
            <w:left w:val="none" w:sz="0" w:space="0" w:color="auto"/>
            <w:bottom w:val="none" w:sz="0" w:space="0" w:color="auto"/>
            <w:right w:val="none" w:sz="0" w:space="0" w:color="auto"/>
          </w:divBdr>
          <w:divsChild>
            <w:div w:id="1450197380">
              <w:marLeft w:val="0"/>
              <w:marRight w:val="0"/>
              <w:marTop w:val="0"/>
              <w:marBottom w:val="0"/>
              <w:divBdr>
                <w:top w:val="none" w:sz="0" w:space="0" w:color="auto"/>
                <w:left w:val="none" w:sz="0" w:space="0" w:color="auto"/>
                <w:bottom w:val="none" w:sz="0" w:space="0" w:color="auto"/>
                <w:right w:val="none" w:sz="0" w:space="0" w:color="auto"/>
              </w:divBdr>
              <w:divsChild>
                <w:div w:id="20127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Skaletzky+SM&amp;cauthor_id=221574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Totapally+BR&amp;cauthor_id=22157421" TargetMode="External"/><Relationship Id="rId5" Type="http://schemas.openxmlformats.org/officeDocument/2006/relationships/footnotes" Target="footnotes.xml"/><Relationship Id="rId10" Type="http://schemas.openxmlformats.org/officeDocument/2006/relationships/hyperlink" Target="https://pubmed.ncbi.nlm.nih.gov/?term=Raszynski+A&amp;cauthor_id=22157421" TargetMode="External"/><Relationship Id="rId4" Type="http://schemas.openxmlformats.org/officeDocument/2006/relationships/webSettings" Target="webSettings.xml"/><Relationship Id="rId9" Type="http://schemas.openxmlformats.org/officeDocument/2006/relationships/hyperlink" Target="https://pubmed.ncbi.nlm.nih.gov/22157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3095</Words>
  <Characters>17645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DERA ALFIYANTI</dc:creator>
  <cp:keywords/>
  <dc:description/>
  <cp:lastModifiedBy>DERA ALFIYANTI</cp:lastModifiedBy>
  <cp:revision>8</cp:revision>
  <dcterms:created xsi:type="dcterms:W3CDTF">2022-07-21T11:19:00Z</dcterms:created>
  <dcterms:modified xsi:type="dcterms:W3CDTF">2022-07-21T14:14:00Z</dcterms:modified>
</cp:coreProperties>
</file>